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0A1AA" w14:textId="45A4D420" w:rsidR="00162EF8" w:rsidRPr="003D5B4E" w:rsidRDefault="00B223FB" w:rsidP="0041236F">
      <w:pPr>
        <w:spacing w:line="480" w:lineRule="auto"/>
        <w:jc w:val="center"/>
        <w:rPr>
          <w:rFonts w:ascii="Times New Roman" w:hAnsi="Times New Roman" w:cs="Times New Roman"/>
          <w:b/>
          <w:bCs/>
          <w:sz w:val="24"/>
          <w:szCs w:val="24"/>
        </w:rPr>
      </w:pPr>
      <w:r w:rsidRPr="003D5B4E">
        <w:rPr>
          <w:rFonts w:ascii="Times New Roman" w:hAnsi="Times New Roman" w:cs="Times New Roman"/>
          <w:b/>
          <w:bCs/>
          <w:sz w:val="24"/>
          <w:szCs w:val="24"/>
        </w:rPr>
        <w:t xml:space="preserve">EU Perspectives on Workplace Sexual Harassment: </w:t>
      </w:r>
      <w:r w:rsidR="009B4ABC" w:rsidRPr="003D5B4E">
        <w:rPr>
          <w:rFonts w:ascii="Times New Roman" w:hAnsi="Times New Roman" w:cs="Times New Roman"/>
          <w:b/>
          <w:bCs/>
          <w:sz w:val="24"/>
          <w:szCs w:val="24"/>
        </w:rPr>
        <w:t>Potential and Practical Implementation of the C</w:t>
      </w:r>
      <w:r w:rsidR="000E0782" w:rsidRPr="003D5B4E">
        <w:rPr>
          <w:rFonts w:ascii="Times New Roman" w:hAnsi="Times New Roman" w:cs="Times New Roman"/>
          <w:b/>
          <w:bCs/>
          <w:sz w:val="24"/>
          <w:szCs w:val="24"/>
        </w:rPr>
        <w:t>orporate Sustainability Reporting Directive</w:t>
      </w:r>
    </w:p>
    <w:p w14:paraId="6AA07AEF" w14:textId="77777777" w:rsidR="00B223FB" w:rsidRDefault="00B223FB" w:rsidP="00B223FB">
      <w:pPr>
        <w:spacing w:line="360" w:lineRule="auto"/>
        <w:jc w:val="center"/>
        <w:rPr>
          <w:rFonts w:ascii="Times New Roman" w:hAnsi="Times New Roman" w:cs="Times New Roman"/>
          <w:sz w:val="24"/>
          <w:szCs w:val="24"/>
        </w:rPr>
      </w:pPr>
    </w:p>
    <w:p w14:paraId="66CE6E41" w14:textId="309CEBA4" w:rsidR="008D6F38" w:rsidRPr="003539C8" w:rsidRDefault="008D6F38" w:rsidP="008D6F38">
      <w:pPr>
        <w:spacing w:line="360" w:lineRule="auto"/>
        <w:jc w:val="center"/>
        <w:rPr>
          <w:rFonts w:ascii="Times New Roman" w:hAnsi="Times New Roman" w:cs="Times New Roman"/>
          <w:b/>
          <w:bCs/>
          <w:sz w:val="24"/>
          <w:szCs w:val="24"/>
        </w:rPr>
      </w:pPr>
      <w:r w:rsidRPr="003539C8">
        <w:rPr>
          <w:rFonts w:ascii="Times New Roman" w:hAnsi="Times New Roman" w:cs="Times New Roman"/>
          <w:b/>
          <w:bCs/>
          <w:sz w:val="24"/>
          <w:szCs w:val="24"/>
        </w:rPr>
        <w:t>Abstract</w:t>
      </w:r>
    </w:p>
    <w:p w14:paraId="6E17FC1E" w14:textId="2C9A6A46" w:rsidR="00BA180F" w:rsidRPr="003D5B4E" w:rsidRDefault="008D6F38" w:rsidP="0041236F">
      <w:pPr>
        <w:spacing w:line="480" w:lineRule="auto"/>
        <w:jc w:val="both"/>
        <w:rPr>
          <w:rFonts w:ascii="Times New Roman" w:hAnsi="Times New Roman" w:cs="Times New Roman"/>
          <w:sz w:val="24"/>
          <w:szCs w:val="24"/>
        </w:rPr>
        <w:sectPr w:rsidR="00BA180F" w:rsidRPr="003D5B4E" w:rsidSect="000A276E">
          <w:footerReference w:type="default" r:id="rId8"/>
          <w:pgSz w:w="11906" w:h="16838"/>
          <w:pgMar w:top="1417" w:right="1417" w:bottom="1134" w:left="1417" w:header="708" w:footer="708" w:gutter="0"/>
          <w:cols w:space="708"/>
          <w:docGrid w:linePitch="360"/>
        </w:sectPr>
      </w:pPr>
      <w:r w:rsidRPr="003D5B4E">
        <w:rPr>
          <w:rFonts w:ascii="Times New Roman" w:hAnsi="Times New Roman" w:cs="Times New Roman"/>
          <w:sz w:val="24"/>
          <w:szCs w:val="24"/>
        </w:rPr>
        <w:t xml:space="preserve">This study explores the impact of the mandatory Corporate Social Responsibility Directive (CSRD) on </w:t>
      </w:r>
      <w:r w:rsidR="00784703" w:rsidRPr="003D5B4E">
        <w:rPr>
          <w:rFonts w:ascii="Times New Roman" w:hAnsi="Times New Roman" w:cs="Times New Roman"/>
          <w:sz w:val="24"/>
          <w:szCs w:val="24"/>
        </w:rPr>
        <w:t xml:space="preserve">altering behavior to </w:t>
      </w:r>
      <w:r w:rsidR="00225C06" w:rsidRPr="003D5B4E">
        <w:rPr>
          <w:rFonts w:ascii="Times New Roman" w:hAnsi="Times New Roman" w:cs="Times New Roman"/>
          <w:sz w:val="24"/>
          <w:szCs w:val="24"/>
        </w:rPr>
        <w:t>mitigate workplace sexual harassment</w:t>
      </w:r>
      <w:r w:rsidR="00103072" w:rsidRPr="003D5B4E">
        <w:rPr>
          <w:rFonts w:ascii="Times New Roman" w:hAnsi="Times New Roman" w:cs="Times New Roman"/>
          <w:sz w:val="24"/>
          <w:szCs w:val="24"/>
        </w:rPr>
        <w:t xml:space="preserve"> (SH)</w:t>
      </w:r>
      <w:r w:rsidRPr="003D5B4E">
        <w:rPr>
          <w:rFonts w:ascii="Times New Roman" w:hAnsi="Times New Roman" w:cs="Times New Roman"/>
          <w:sz w:val="24"/>
          <w:szCs w:val="24"/>
        </w:rPr>
        <w:t xml:space="preserve">. In 2004, the </w:t>
      </w:r>
      <w:r w:rsidR="00F72896" w:rsidRPr="003D5B4E">
        <w:rPr>
          <w:rFonts w:ascii="Times New Roman" w:hAnsi="Times New Roman" w:cs="Times New Roman"/>
          <w:sz w:val="24"/>
          <w:szCs w:val="24"/>
        </w:rPr>
        <w:t>European Union (EU)</w:t>
      </w:r>
      <w:r w:rsidRPr="003D5B4E">
        <w:rPr>
          <w:rFonts w:ascii="Times New Roman" w:hAnsi="Times New Roman" w:cs="Times New Roman"/>
          <w:sz w:val="24"/>
          <w:szCs w:val="24"/>
        </w:rPr>
        <w:t xml:space="preserve"> issued the first directive aimed at preventing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(Directive 2004/113/EC). As global attention intensified through the United Nations’ 2030 Agenda for Sustainable Development, addressing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became pivotal under Sustainable Development Goal (SDG) 5 for Gender Equality and SDG 8 for Decent Work and Economic Growth. Research-informed frameworks spotlight preventative and remedial strategies for mitigating workplace sexual harassment. However, a global study unveils a stark reality - approximately 147 million employed individuals faced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incidents worldwide between 2016 and 2021. This paper analyzed the CSRD and the corresponding European Sustainable Reporting Standards (ESRS) in light of previous findings from academia and corporate practice, contributing to an ex-ante impact assessment. </w:t>
      </w:r>
      <w:r w:rsidR="0063738A" w:rsidRPr="003D5B4E">
        <w:rPr>
          <w:rFonts w:ascii="Times New Roman" w:hAnsi="Times New Roman" w:cs="Times New Roman"/>
          <w:sz w:val="24"/>
          <w:szCs w:val="24"/>
        </w:rPr>
        <w:t xml:space="preserve">The ESRS appear to be a significant set of measures for preventing and responding to SH. However, we identify weaknesses and areas for improvement and discuss potential threats to its effectiveness. </w:t>
      </w:r>
    </w:p>
    <w:p w14:paraId="14283529" w14:textId="64C9FB1E" w:rsidR="00D770EF" w:rsidRDefault="00D770EF" w:rsidP="00D770EF">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Autobiographical notes</w:t>
      </w:r>
    </w:p>
    <w:p w14:paraId="658C11BA" w14:textId="77777777" w:rsidR="00D770EF" w:rsidRDefault="00D770EF" w:rsidP="00D770EF">
      <w:pPr>
        <w:jc w:val="center"/>
        <w:rPr>
          <w:rFonts w:ascii="Times New Roman" w:hAnsi="Times New Roman" w:cs="Times New Roman"/>
          <w:b/>
          <w:bCs/>
          <w:sz w:val="24"/>
          <w:szCs w:val="24"/>
        </w:rPr>
      </w:pPr>
    </w:p>
    <w:p w14:paraId="4990FEBE" w14:textId="33FDB241" w:rsidR="00D770EF" w:rsidRDefault="00D770EF" w:rsidP="00D770EF">
      <w:pPr>
        <w:spacing w:line="480" w:lineRule="auto"/>
        <w:jc w:val="both"/>
        <w:rPr>
          <w:rFonts w:ascii="Times New Roman" w:hAnsi="Times New Roman" w:cs="Times New Roman"/>
          <w:sz w:val="24"/>
          <w:szCs w:val="24"/>
        </w:rPr>
      </w:pPr>
      <w:r w:rsidRPr="00702A87">
        <w:rPr>
          <w:rFonts w:ascii="Times New Roman" w:hAnsi="Times New Roman" w:cs="Times New Roman"/>
          <w:sz w:val="24"/>
          <w:szCs w:val="24"/>
        </w:rPr>
        <w:t>Jasmin Nina Kopp</w:t>
      </w:r>
      <w:r w:rsidR="003539C8">
        <w:rPr>
          <w:rFonts w:ascii="Times New Roman" w:hAnsi="Times New Roman" w:cs="Times New Roman"/>
          <w:sz w:val="24"/>
          <w:szCs w:val="24"/>
          <w:vertAlign w:val="superscript"/>
        </w:rPr>
        <w:t>1</w:t>
      </w:r>
      <w:r w:rsidRPr="00702A87">
        <w:rPr>
          <w:rFonts w:ascii="Times New Roman" w:hAnsi="Times New Roman" w:cs="Times New Roman"/>
          <w:sz w:val="24"/>
          <w:szCs w:val="24"/>
        </w:rPr>
        <w:t xml:space="preserve"> is a second-year doctoral student at the Chair of Management and Organization at the University of Augsburg, Germany. Her research focuses on sexual harassment in corporations and universities with the aim of promoting workplace equity, safety, and inclusivity. </w:t>
      </w:r>
    </w:p>
    <w:p w14:paraId="5A8999D6" w14:textId="26AC27AE" w:rsidR="00D770EF" w:rsidRDefault="00D770EF" w:rsidP="00D770EF">
      <w:pPr>
        <w:spacing w:line="480" w:lineRule="auto"/>
        <w:jc w:val="both"/>
        <w:rPr>
          <w:rFonts w:ascii="Times New Roman" w:hAnsi="Times New Roman" w:cs="Times New Roman"/>
          <w:sz w:val="24"/>
          <w:szCs w:val="24"/>
        </w:rPr>
      </w:pPr>
      <w:r w:rsidRPr="00205A11">
        <w:rPr>
          <w:rFonts w:ascii="Times New Roman" w:hAnsi="Times New Roman" w:cs="Times New Roman"/>
          <w:sz w:val="24"/>
          <w:szCs w:val="24"/>
        </w:rPr>
        <w:t>Dr. Katharine Wirsching</w:t>
      </w:r>
      <w:r w:rsidR="003539C8">
        <w:rPr>
          <w:rFonts w:ascii="Times New Roman" w:hAnsi="Times New Roman" w:cs="Times New Roman"/>
          <w:sz w:val="24"/>
          <w:szCs w:val="24"/>
          <w:vertAlign w:val="superscript"/>
        </w:rPr>
        <w:t>2</w:t>
      </w:r>
      <w:r w:rsidRPr="00205A11">
        <w:rPr>
          <w:rFonts w:ascii="Times New Roman" w:hAnsi="Times New Roman" w:cs="Times New Roman"/>
          <w:sz w:val="24"/>
          <w:szCs w:val="24"/>
        </w:rPr>
        <w:t xml:space="preserve"> is an Assistant Professor at the </w:t>
      </w:r>
      <w:r>
        <w:rPr>
          <w:rFonts w:ascii="Times New Roman" w:hAnsi="Times New Roman" w:cs="Times New Roman"/>
          <w:sz w:val="24"/>
          <w:szCs w:val="24"/>
        </w:rPr>
        <w:t>C</w:t>
      </w:r>
      <w:r w:rsidRPr="00205A11">
        <w:rPr>
          <w:rFonts w:ascii="Times New Roman" w:hAnsi="Times New Roman" w:cs="Times New Roman"/>
          <w:sz w:val="24"/>
          <w:szCs w:val="24"/>
        </w:rPr>
        <w:t xml:space="preserve">hair of </w:t>
      </w:r>
      <w:r>
        <w:rPr>
          <w:rFonts w:ascii="Times New Roman" w:hAnsi="Times New Roman" w:cs="Times New Roman"/>
          <w:sz w:val="24"/>
          <w:szCs w:val="24"/>
        </w:rPr>
        <w:t>M</w:t>
      </w:r>
      <w:r w:rsidRPr="00205A11">
        <w:rPr>
          <w:rFonts w:ascii="Times New Roman" w:hAnsi="Times New Roman" w:cs="Times New Roman"/>
          <w:sz w:val="24"/>
          <w:szCs w:val="24"/>
        </w:rPr>
        <w:t xml:space="preserve">anagement and </w:t>
      </w:r>
      <w:r>
        <w:rPr>
          <w:rFonts w:ascii="Times New Roman" w:hAnsi="Times New Roman" w:cs="Times New Roman"/>
          <w:sz w:val="24"/>
          <w:szCs w:val="24"/>
        </w:rPr>
        <w:t>O</w:t>
      </w:r>
      <w:r w:rsidRPr="00205A11">
        <w:rPr>
          <w:rFonts w:ascii="Times New Roman" w:hAnsi="Times New Roman" w:cs="Times New Roman"/>
          <w:sz w:val="24"/>
          <w:szCs w:val="24"/>
        </w:rPr>
        <w:t>rganization at the University of Augsburg, Germany. Her research focuses on entrepreneurial ecosystems, corporate governance and innovation in family firms, female and immigrant entrepreneurship, and public policy. She is also a senior research fellow at the Institute for Development Strategies (IDS) at Indiana University</w:t>
      </w:r>
      <w:r>
        <w:rPr>
          <w:rFonts w:ascii="Times New Roman" w:hAnsi="Times New Roman" w:cs="Times New Roman"/>
          <w:sz w:val="24"/>
          <w:szCs w:val="24"/>
        </w:rPr>
        <w:t>’s</w:t>
      </w:r>
      <w:r w:rsidRPr="00205A11">
        <w:rPr>
          <w:rFonts w:ascii="Times New Roman" w:hAnsi="Times New Roman" w:cs="Times New Roman"/>
          <w:sz w:val="24"/>
          <w:szCs w:val="24"/>
        </w:rPr>
        <w:t xml:space="preserve"> School of Public and Environmental Affairs (SPEA), USA. </w:t>
      </w:r>
      <w:r w:rsidRPr="00702A87">
        <w:rPr>
          <w:rFonts w:ascii="Times New Roman" w:hAnsi="Times New Roman" w:cs="Times New Roman"/>
          <w:sz w:val="24"/>
          <w:szCs w:val="24"/>
        </w:rPr>
        <w:t>Furthermore, Katharine holds the position of Women's Representative of the Faculty of Economics at the University of Augsburg.</w:t>
      </w:r>
    </w:p>
    <w:p w14:paraId="5FC92CFC" w14:textId="77777777" w:rsidR="003539C8" w:rsidRDefault="00D770EF">
      <w:pPr>
        <w:rPr>
          <w:rFonts w:ascii="Times New Roman" w:hAnsi="Times New Roman" w:cs="Times New Roman"/>
          <w:sz w:val="24"/>
          <w:szCs w:val="24"/>
        </w:rPr>
        <w:sectPr w:rsidR="003539C8" w:rsidSect="003539C8">
          <w:footerReference w:type="default" r:id="rId9"/>
          <w:pgSz w:w="11906" w:h="16838"/>
          <w:pgMar w:top="1418" w:right="1418" w:bottom="1134" w:left="1418" w:header="709" w:footer="709" w:gutter="0"/>
          <w:cols w:space="708"/>
          <w:docGrid w:linePitch="360"/>
        </w:sectPr>
      </w:pPr>
      <w:r>
        <w:rPr>
          <w:rFonts w:ascii="Times New Roman" w:hAnsi="Times New Roman" w:cs="Times New Roman"/>
          <w:sz w:val="24"/>
          <w:szCs w:val="24"/>
        </w:rPr>
        <w:br w:type="page"/>
      </w:r>
    </w:p>
    <w:p w14:paraId="052A59CE" w14:textId="565855AB" w:rsidR="008D6F38" w:rsidRPr="003D5B4E" w:rsidRDefault="008D6F38" w:rsidP="0041236F">
      <w:pPr>
        <w:spacing w:line="480" w:lineRule="auto"/>
        <w:jc w:val="both"/>
        <w:rPr>
          <w:rFonts w:ascii="Times New Roman" w:hAnsi="Times New Roman" w:cs="Times New Roman"/>
          <w:b/>
          <w:bCs/>
          <w:sz w:val="24"/>
          <w:szCs w:val="24"/>
        </w:rPr>
      </w:pPr>
      <w:r w:rsidRPr="003D5B4E">
        <w:rPr>
          <w:rFonts w:ascii="Times New Roman" w:hAnsi="Times New Roman" w:cs="Times New Roman"/>
          <w:b/>
          <w:bCs/>
          <w:sz w:val="24"/>
          <w:szCs w:val="24"/>
        </w:rPr>
        <w:lastRenderedPageBreak/>
        <w:t>Introduction</w:t>
      </w:r>
    </w:p>
    <w:p w14:paraId="4A012805" w14:textId="1FCB705A" w:rsidR="00861DDF" w:rsidRPr="003D5B4E" w:rsidRDefault="0038791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Numerous organizations, legislatures, policymakers, researchers, and social movements have acknowledged workplace sexual harassment</w:t>
      </w:r>
      <w:r w:rsidR="00103072" w:rsidRPr="003D5B4E">
        <w:rPr>
          <w:rFonts w:ascii="Times New Roman" w:hAnsi="Times New Roman" w:cs="Times New Roman"/>
          <w:sz w:val="24"/>
          <w:szCs w:val="24"/>
        </w:rPr>
        <w:t xml:space="preserve"> (SH)</w:t>
      </w:r>
      <w:r w:rsidRPr="003D5B4E">
        <w:rPr>
          <w:rFonts w:ascii="Times New Roman" w:hAnsi="Times New Roman" w:cs="Times New Roman"/>
          <w:sz w:val="24"/>
          <w:szCs w:val="24"/>
        </w:rPr>
        <w:t xml:space="preserve"> as a prevalent issue and are dedicated to combating it</w:t>
      </w:r>
      <w:r w:rsidR="009D798C">
        <w:rPr>
          <w:rFonts w:ascii="Times New Roman" w:hAnsi="Times New Roman" w:cs="Times New Roman"/>
          <w:sz w:val="24"/>
          <w:szCs w:val="24"/>
        </w:rPr>
        <w:t xml:space="preserve"> (e.g., </w:t>
      </w:r>
      <w:proofErr w:type="spellStart"/>
      <w:r w:rsidR="001440AF">
        <w:rPr>
          <w:rFonts w:ascii="Times New Roman" w:hAnsi="Times New Roman" w:cs="Times New Roman"/>
          <w:sz w:val="24"/>
          <w:szCs w:val="24"/>
        </w:rPr>
        <w:t>Bouzzine</w:t>
      </w:r>
      <w:proofErr w:type="spellEnd"/>
      <w:r w:rsidR="001440AF">
        <w:rPr>
          <w:rFonts w:ascii="Times New Roman" w:hAnsi="Times New Roman" w:cs="Times New Roman"/>
          <w:sz w:val="24"/>
          <w:szCs w:val="24"/>
        </w:rPr>
        <w:t xml:space="preserve"> &amp; Lueg, 2022; </w:t>
      </w:r>
      <w:proofErr w:type="spellStart"/>
      <w:r w:rsidR="009D798C">
        <w:rPr>
          <w:rFonts w:ascii="Times New Roman" w:hAnsi="Times New Roman" w:cs="Times New Roman"/>
          <w:sz w:val="24"/>
          <w:szCs w:val="24"/>
        </w:rPr>
        <w:t>Willness</w:t>
      </w:r>
      <w:proofErr w:type="spellEnd"/>
      <w:r w:rsidR="009D798C">
        <w:rPr>
          <w:rFonts w:ascii="Times New Roman" w:hAnsi="Times New Roman" w:cs="Times New Roman"/>
          <w:sz w:val="24"/>
          <w:szCs w:val="24"/>
        </w:rPr>
        <w:t xml:space="preserve"> et al., 2007; Fitzgerald, 1988; </w:t>
      </w:r>
      <w:r w:rsidR="0041236F">
        <w:rPr>
          <w:rFonts w:ascii="Times New Roman" w:hAnsi="Times New Roman" w:cs="Times New Roman"/>
          <w:sz w:val="24"/>
          <w:szCs w:val="24"/>
        </w:rPr>
        <w:t>MacKinnon, 1979</w:t>
      </w:r>
      <w:r w:rsidR="009D798C">
        <w:rPr>
          <w:rFonts w:ascii="Times New Roman" w:hAnsi="Times New Roman" w:cs="Times New Roman"/>
          <w:sz w:val="24"/>
          <w:szCs w:val="24"/>
        </w:rPr>
        <w:t>)</w:t>
      </w:r>
      <w:r w:rsidRPr="003D5B4E">
        <w:rPr>
          <w:rFonts w:ascii="Times New Roman" w:hAnsi="Times New Roman" w:cs="Times New Roman"/>
          <w:sz w:val="24"/>
          <w:szCs w:val="24"/>
        </w:rPr>
        <w:t xml:space="preserve">. For example, the European Union (EU) issued the first directive aimed at preventing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in Europe in 2004 (Directive 2004/113/EC). From 2006, Directive 2006/54 implements equal treatment between women and men in the domain of European labor law, bringing together older directives. The United Nations 2030 Agenda for Sustainable Development Goal (SDG) 5 on Gender Equality is bringing welcome world attention to the problem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(United Nations, 2015). Governments are obliged to achieve gender equality and eliminate all forms of violence against women and girls. SDG 8 on Decent Work and Economic Growth implies decent workplaces free from gender-based violence. The new International Labour Organization (ILO) Convention concerning the elimination of violence and harassment in the world of work (ILO, 2019) challenges </w:t>
      </w:r>
      <w:r w:rsidR="0041236F">
        <w:rPr>
          <w:rFonts w:ascii="Times New Roman" w:hAnsi="Times New Roman" w:cs="Times New Roman"/>
          <w:sz w:val="24"/>
          <w:szCs w:val="24"/>
        </w:rPr>
        <w:t>organization</w:t>
      </w:r>
      <w:r w:rsidRPr="003D5B4E">
        <w:rPr>
          <w:rFonts w:ascii="Times New Roman" w:hAnsi="Times New Roman" w:cs="Times New Roman"/>
          <w:sz w:val="24"/>
          <w:szCs w:val="24"/>
        </w:rPr>
        <w:t>s to find appropriate and robust prevention measures and responses.</w:t>
      </w:r>
      <w:r w:rsidR="00861DDF" w:rsidRPr="003D5B4E">
        <w:rPr>
          <w:rFonts w:ascii="Times New Roman" w:hAnsi="Times New Roman" w:cs="Times New Roman"/>
          <w:sz w:val="24"/>
          <w:szCs w:val="24"/>
        </w:rPr>
        <w:t xml:space="preserve"> </w:t>
      </w:r>
    </w:p>
    <w:p w14:paraId="7EAB6CFE" w14:textId="3EC4F3BD" w:rsidR="008D6F38" w:rsidRPr="003D5B4E" w:rsidRDefault="00861DDF"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However, a global study on experiences and harassment at work reveals that </w:t>
      </w:r>
      <w:r w:rsidR="00103072" w:rsidRPr="003D5B4E">
        <w:rPr>
          <w:rFonts w:ascii="Times New Roman" w:hAnsi="Times New Roman" w:cs="Times New Roman"/>
          <w:sz w:val="24"/>
          <w:szCs w:val="24"/>
        </w:rPr>
        <w:t>SH</w:t>
      </w:r>
      <w:r w:rsidR="00493055" w:rsidRPr="003D5B4E">
        <w:rPr>
          <w:rFonts w:ascii="Times New Roman" w:hAnsi="Times New Roman" w:cs="Times New Roman"/>
          <w:sz w:val="24"/>
          <w:szCs w:val="24"/>
        </w:rPr>
        <w:t xml:space="preserve"> is still a prevalent, widespread issue (ILO &amp; Lloyd’s Register Foundation, 2022). A</w:t>
      </w:r>
      <w:r w:rsidRPr="003D5B4E">
        <w:rPr>
          <w:rFonts w:ascii="Times New Roman" w:hAnsi="Times New Roman" w:cs="Times New Roman"/>
          <w:sz w:val="24"/>
          <w:szCs w:val="24"/>
        </w:rPr>
        <w:t xml:space="preserve">pproximately 147 million people in employment worldwide faced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incidents between 2016 and 202</w:t>
      </w:r>
      <w:r w:rsidR="00493055" w:rsidRPr="003D5B4E">
        <w:rPr>
          <w:rFonts w:ascii="Times New Roman" w:hAnsi="Times New Roman" w:cs="Times New Roman"/>
          <w:sz w:val="24"/>
          <w:szCs w:val="24"/>
        </w:rPr>
        <w:t>1</w:t>
      </w:r>
      <w:r w:rsidRPr="003D5B4E">
        <w:rPr>
          <w:rFonts w:ascii="Times New Roman" w:hAnsi="Times New Roman" w:cs="Times New Roman"/>
          <w:sz w:val="24"/>
          <w:szCs w:val="24"/>
        </w:rPr>
        <w:t xml:space="preserve">. </w:t>
      </w:r>
      <w:r w:rsidR="00095D60" w:rsidRPr="003D5B4E">
        <w:rPr>
          <w:rFonts w:ascii="Times New Roman" w:hAnsi="Times New Roman" w:cs="Times New Roman"/>
          <w:sz w:val="24"/>
          <w:szCs w:val="24"/>
        </w:rPr>
        <w:t xml:space="preserve">The EU’s Corporate Sustainability Reporting Directive (CSRD) came into force in January 2024, and may be an effective lever </w:t>
      </w:r>
      <w:r w:rsidR="00AF5F24" w:rsidRPr="003D5B4E">
        <w:rPr>
          <w:rFonts w:ascii="Times New Roman" w:hAnsi="Times New Roman" w:cs="Times New Roman"/>
          <w:sz w:val="24"/>
          <w:szCs w:val="24"/>
        </w:rPr>
        <w:t xml:space="preserve">for </w:t>
      </w:r>
      <w:r w:rsidR="00C15CD6" w:rsidRPr="003D5B4E">
        <w:rPr>
          <w:rFonts w:ascii="Times New Roman" w:hAnsi="Times New Roman" w:cs="Times New Roman"/>
          <w:sz w:val="24"/>
          <w:szCs w:val="24"/>
        </w:rPr>
        <w:t>altering</w:t>
      </w:r>
      <w:r w:rsidR="00095D60" w:rsidRPr="003D5B4E">
        <w:rPr>
          <w:rFonts w:ascii="Times New Roman" w:hAnsi="Times New Roman" w:cs="Times New Roman"/>
          <w:sz w:val="24"/>
          <w:szCs w:val="24"/>
        </w:rPr>
        <w:t xml:space="preserve"> sexual</w:t>
      </w:r>
      <w:r w:rsidR="00C15CD6" w:rsidRPr="003D5B4E">
        <w:rPr>
          <w:rFonts w:ascii="Times New Roman" w:hAnsi="Times New Roman" w:cs="Times New Roman"/>
          <w:sz w:val="24"/>
          <w:szCs w:val="24"/>
        </w:rPr>
        <w:t>ly</w:t>
      </w:r>
      <w:r w:rsidR="00095D60" w:rsidRPr="003D5B4E">
        <w:rPr>
          <w:rFonts w:ascii="Times New Roman" w:hAnsi="Times New Roman" w:cs="Times New Roman"/>
          <w:sz w:val="24"/>
          <w:szCs w:val="24"/>
        </w:rPr>
        <w:t xml:space="preserve"> harass</w:t>
      </w:r>
      <w:r w:rsidR="00C15CD6" w:rsidRPr="003D5B4E">
        <w:rPr>
          <w:rFonts w:ascii="Times New Roman" w:hAnsi="Times New Roman" w:cs="Times New Roman"/>
          <w:sz w:val="24"/>
          <w:szCs w:val="24"/>
        </w:rPr>
        <w:t>ing behavior</w:t>
      </w:r>
      <w:r w:rsidR="00095D60" w:rsidRPr="003D5B4E">
        <w:rPr>
          <w:rFonts w:ascii="Times New Roman" w:hAnsi="Times New Roman" w:cs="Times New Roman"/>
          <w:sz w:val="24"/>
          <w:szCs w:val="24"/>
        </w:rPr>
        <w:t xml:space="preserve"> in the workplace (Directive 2022/2464/EU). The regulation significantly expands the range of companies required to </w:t>
      </w:r>
      <w:r w:rsidR="00C15CD6" w:rsidRPr="003D5B4E">
        <w:rPr>
          <w:rFonts w:ascii="Times New Roman" w:hAnsi="Times New Roman" w:cs="Times New Roman"/>
          <w:sz w:val="24"/>
          <w:szCs w:val="24"/>
        </w:rPr>
        <w:t xml:space="preserve">mandatory </w:t>
      </w:r>
      <w:r w:rsidR="00095D60" w:rsidRPr="003D5B4E">
        <w:rPr>
          <w:rFonts w:ascii="Times New Roman" w:hAnsi="Times New Roman" w:cs="Times New Roman"/>
          <w:sz w:val="24"/>
          <w:szCs w:val="24"/>
        </w:rPr>
        <w:t xml:space="preserve">publish reports and introduces a substantial number of new reporting requirements, including </w:t>
      </w:r>
      <w:r w:rsidR="00103072" w:rsidRPr="003D5B4E">
        <w:rPr>
          <w:rFonts w:ascii="Times New Roman" w:hAnsi="Times New Roman" w:cs="Times New Roman"/>
          <w:sz w:val="24"/>
          <w:szCs w:val="24"/>
        </w:rPr>
        <w:t>SH</w:t>
      </w:r>
      <w:r w:rsidR="00A43CD5" w:rsidRPr="003D5B4E">
        <w:rPr>
          <w:rFonts w:ascii="Times New Roman" w:hAnsi="Times New Roman" w:cs="Times New Roman"/>
          <w:sz w:val="24"/>
          <w:szCs w:val="24"/>
        </w:rPr>
        <w:t>, which have not been included in the previous Non-Financial Reporting Directive (NFRD) (Directive 2014/95/EU).</w:t>
      </w:r>
    </w:p>
    <w:p w14:paraId="39BF9139" w14:textId="28C49732" w:rsidR="00A43CD5" w:rsidRPr="003D5B4E" w:rsidRDefault="00A43CD5"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 xml:space="preserve">This paper aims to evaluate the effect of the obligation for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to report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incidents, prevention measures, and response strategies on their occurrence. It is discussed in light of the existing landscape of legislation on handling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and existing gaps compared to scientific propositions. </w:t>
      </w:r>
      <w:r w:rsidR="00CA0AB3">
        <w:rPr>
          <w:rFonts w:ascii="Times New Roman" w:hAnsi="Times New Roman" w:cs="Times New Roman"/>
          <w:sz w:val="24"/>
          <w:szCs w:val="24"/>
        </w:rPr>
        <w:t>W</w:t>
      </w:r>
      <w:r w:rsidRPr="003D5B4E">
        <w:rPr>
          <w:rFonts w:ascii="Times New Roman" w:hAnsi="Times New Roman" w:cs="Times New Roman"/>
          <w:sz w:val="24"/>
          <w:szCs w:val="24"/>
        </w:rPr>
        <w:t xml:space="preserve">e </w:t>
      </w:r>
      <w:r w:rsidR="00CA0AB3">
        <w:rPr>
          <w:rFonts w:ascii="Times New Roman" w:hAnsi="Times New Roman" w:cs="Times New Roman"/>
          <w:sz w:val="24"/>
          <w:szCs w:val="24"/>
        </w:rPr>
        <w:t>build upon</w:t>
      </w:r>
      <w:r w:rsidRPr="003D5B4E">
        <w:rPr>
          <w:rFonts w:ascii="Times New Roman" w:hAnsi="Times New Roman" w:cs="Times New Roman"/>
          <w:sz w:val="24"/>
          <w:szCs w:val="24"/>
        </w:rPr>
        <w:t xml:space="preserve"> the existing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prevention and response framework from McDonald et al. (2015) and conduct a </w:t>
      </w:r>
      <w:r w:rsidR="00C15CD6" w:rsidRPr="003D5B4E">
        <w:rPr>
          <w:rFonts w:ascii="Times New Roman" w:hAnsi="Times New Roman" w:cs="Times New Roman"/>
          <w:sz w:val="24"/>
          <w:szCs w:val="24"/>
        </w:rPr>
        <w:t>theoretical ex-ante</w:t>
      </w:r>
      <w:r w:rsidRPr="003D5B4E">
        <w:rPr>
          <w:rFonts w:ascii="Times New Roman" w:hAnsi="Times New Roman" w:cs="Times New Roman"/>
          <w:sz w:val="24"/>
          <w:szCs w:val="24"/>
        </w:rPr>
        <w:t xml:space="preserve"> </w:t>
      </w:r>
      <w:r w:rsidR="00CA0AB3">
        <w:rPr>
          <w:rFonts w:ascii="Times New Roman" w:hAnsi="Times New Roman" w:cs="Times New Roman"/>
          <w:sz w:val="24"/>
          <w:szCs w:val="24"/>
        </w:rPr>
        <w:t>assessment</w:t>
      </w:r>
      <w:r w:rsidRPr="003D5B4E">
        <w:rPr>
          <w:rFonts w:ascii="Times New Roman" w:hAnsi="Times New Roman" w:cs="Times New Roman"/>
          <w:sz w:val="24"/>
          <w:szCs w:val="24"/>
        </w:rPr>
        <w:t xml:space="preserve"> </w:t>
      </w:r>
      <w:r w:rsidR="00C15CD6" w:rsidRPr="003D5B4E">
        <w:rPr>
          <w:rFonts w:ascii="Times New Roman" w:hAnsi="Times New Roman" w:cs="Times New Roman"/>
          <w:sz w:val="24"/>
          <w:szCs w:val="24"/>
        </w:rPr>
        <w:t xml:space="preserve">of the </w:t>
      </w:r>
      <w:r w:rsidR="00CA0AB3">
        <w:rPr>
          <w:rFonts w:ascii="Times New Roman" w:hAnsi="Times New Roman" w:cs="Times New Roman"/>
          <w:sz w:val="24"/>
          <w:szCs w:val="24"/>
        </w:rPr>
        <w:t>effect</w:t>
      </w:r>
      <w:r w:rsidR="00C15CD6" w:rsidRPr="003D5B4E">
        <w:rPr>
          <w:rFonts w:ascii="Times New Roman" w:hAnsi="Times New Roman" w:cs="Times New Roman"/>
          <w:sz w:val="24"/>
          <w:szCs w:val="24"/>
        </w:rPr>
        <w:t xml:space="preserve"> of the CSRD</w:t>
      </w:r>
      <w:r w:rsidR="00CA0AB3">
        <w:rPr>
          <w:rFonts w:ascii="Times New Roman" w:hAnsi="Times New Roman" w:cs="Times New Roman"/>
          <w:sz w:val="24"/>
          <w:szCs w:val="24"/>
        </w:rPr>
        <w:t xml:space="preserve"> in </w:t>
      </w:r>
      <w:r w:rsidR="00DB5DC3">
        <w:rPr>
          <w:rFonts w:ascii="Times New Roman" w:hAnsi="Times New Roman" w:cs="Times New Roman"/>
          <w:sz w:val="24"/>
          <w:szCs w:val="24"/>
        </w:rPr>
        <w:t>conjunction</w:t>
      </w:r>
      <w:r w:rsidR="00CA0AB3">
        <w:rPr>
          <w:rFonts w:ascii="Times New Roman" w:hAnsi="Times New Roman" w:cs="Times New Roman"/>
          <w:sz w:val="24"/>
          <w:szCs w:val="24"/>
        </w:rPr>
        <w:t xml:space="preserve"> with the underlying European Sustainability Reporting Standards (ESRS)</w:t>
      </w:r>
      <w:r w:rsidR="00C15CD6" w:rsidRPr="003D5B4E">
        <w:rPr>
          <w:rFonts w:ascii="Times New Roman" w:hAnsi="Times New Roman" w:cs="Times New Roman"/>
          <w:sz w:val="24"/>
          <w:szCs w:val="24"/>
        </w:rPr>
        <w:t xml:space="preserve"> on altering sexually harassing behavior in the workplace.</w:t>
      </w:r>
    </w:p>
    <w:p w14:paraId="3086F6D0" w14:textId="5CA16C46" w:rsidR="00A43CD5" w:rsidRPr="003D5B4E" w:rsidRDefault="00564008"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proposed prevention measures and response strategies of the EU build a solid basis. We align with Grossman's (2003) argument that the computation of employer liability for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aims to encourage employers to establish formal policies and procedures concerning workplace harassment rather than ensuring their effective prevention and response to such incidents. T</w:t>
      </w:r>
      <w:r w:rsidR="007D3F1A" w:rsidRPr="003D5B4E">
        <w:rPr>
          <w:rFonts w:ascii="Times New Roman" w:hAnsi="Times New Roman" w:cs="Times New Roman"/>
          <w:sz w:val="24"/>
          <w:szCs w:val="24"/>
        </w:rPr>
        <w:t>he existing NFRD did not</w:t>
      </w:r>
      <w:r w:rsidR="00AF5F24" w:rsidRPr="003D5B4E">
        <w:rPr>
          <w:rFonts w:ascii="Times New Roman" w:hAnsi="Times New Roman" w:cs="Times New Roman"/>
          <w:sz w:val="24"/>
          <w:szCs w:val="24"/>
        </w:rPr>
        <w:t xml:space="preserve"> particularly</w:t>
      </w:r>
      <w:r w:rsidR="007D3F1A" w:rsidRPr="003D5B4E">
        <w:rPr>
          <w:rFonts w:ascii="Times New Roman" w:hAnsi="Times New Roman" w:cs="Times New Roman"/>
          <w:sz w:val="24"/>
          <w:szCs w:val="24"/>
        </w:rPr>
        <w:t xml:space="preserve"> require any disclosure on matters regarding </w:t>
      </w:r>
      <w:r w:rsidR="00AF5F24" w:rsidRPr="003D5B4E">
        <w:rPr>
          <w:rFonts w:ascii="Times New Roman" w:hAnsi="Times New Roman" w:cs="Times New Roman"/>
          <w:sz w:val="24"/>
          <w:szCs w:val="24"/>
        </w:rPr>
        <w:t>sexually harassing behavior</w:t>
      </w:r>
      <w:r w:rsidRPr="003D5B4E">
        <w:rPr>
          <w:rFonts w:ascii="Times New Roman" w:hAnsi="Times New Roman" w:cs="Times New Roman"/>
          <w:sz w:val="24"/>
          <w:szCs w:val="24"/>
        </w:rPr>
        <w:t xml:space="preserve"> (Directive 2014/95/EU)</w:t>
      </w:r>
      <w:r w:rsidR="007D3F1A" w:rsidRPr="003D5B4E">
        <w:rPr>
          <w:rFonts w:ascii="Times New Roman" w:hAnsi="Times New Roman" w:cs="Times New Roman"/>
          <w:sz w:val="24"/>
          <w:szCs w:val="24"/>
        </w:rPr>
        <w:t>. Therefore, we argue that the CSRD constitutes a transformative potential. It requires a high level of transparency</w:t>
      </w:r>
      <w:r w:rsidR="00AF5F24" w:rsidRPr="003D5B4E">
        <w:rPr>
          <w:rFonts w:ascii="Times New Roman" w:hAnsi="Times New Roman" w:cs="Times New Roman"/>
          <w:sz w:val="24"/>
          <w:szCs w:val="24"/>
        </w:rPr>
        <w:t xml:space="preserve"> and comparability</w:t>
      </w:r>
      <w:r w:rsidR="007D3F1A" w:rsidRPr="003D5B4E">
        <w:rPr>
          <w:rFonts w:ascii="Times New Roman" w:hAnsi="Times New Roman" w:cs="Times New Roman"/>
          <w:sz w:val="24"/>
          <w:szCs w:val="24"/>
        </w:rPr>
        <w:t>, which may harm</w:t>
      </w:r>
      <w:r w:rsidR="00EE5BEC" w:rsidRPr="003D5B4E">
        <w:rPr>
          <w:rFonts w:ascii="Times New Roman" w:hAnsi="Times New Roman" w:cs="Times New Roman"/>
          <w:sz w:val="24"/>
          <w:szCs w:val="24"/>
        </w:rPr>
        <w:t>,</w:t>
      </w:r>
      <w:r w:rsidR="007D3F1A" w:rsidRPr="003D5B4E">
        <w:rPr>
          <w:rFonts w:ascii="Times New Roman" w:hAnsi="Times New Roman" w:cs="Times New Roman"/>
          <w:sz w:val="24"/>
          <w:szCs w:val="24"/>
        </w:rPr>
        <w:t xml:space="preserve"> in case of non-compliance the</w:t>
      </w:r>
      <w:r w:rsidR="00EE5BEC" w:rsidRPr="003D5B4E">
        <w:rPr>
          <w:rFonts w:ascii="Times New Roman" w:hAnsi="Times New Roman" w:cs="Times New Roman"/>
          <w:sz w:val="24"/>
          <w:szCs w:val="24"/>
        </w:rPr>
        <w:t xml:space="preserve"> company’s</w:t>
      </w:r>
      <w:r w:rsidR="007D3F1A" w:rsidRPr="003D5B4E">
        <w:rPr>
          <w:rFonts w:ascii="Times New Roman" w:hAnsi="Times New Roman" w:cs="Times New Roman"/>
          <w:sz w:val="24"/>
          <w:szCs w:val="24"/>
        </w:rPr>
        <w:t xml:space="preserve"> reputation </w:t>
      </w:r>
      <w:r w:rsidR="00EE5BEC" w:rsidRPr="003D5B4E">
        <w:rPr>
          <w:rFonts w:ascii="Times New Roman" w:hAnsi="Times New Roman" w:cs="Times New Roman"/>
          <w:sz w:val="24"/>
          <w:szCs w:val="24"/>
        </w:rPr>
        <w:t>among</w:t>
      </w:r>
      <w:r w:rsidR="007D3F1A" w:rsidRPr="003D5B4E">
        <w:rPr>
          <w:rFonts w:ascii="Times New Roman" w:hAnsi="Times New Roman" w:cs="Times New Roman"/>
          <w:sz w:val="24"/>
          <w:szCs w:val="24"/>
        </w:rPr>
        <w:t xml:space="preserve"> stakeholders</w:t>
      </w:r>
      <w:r w:rsidR="00797DA8" w:rsidRPr="003D5B4E">
        <w:rPr>
          <w:rFonts w:ascii="Times New Roman" w:hAnsi="Times New Roman" w:cs="Times New Roman"/>
          <w:sz w:val="24"/>
          <w:szCs w:val="24"/>
        </w:rPr>
        <w:t xml:space="preserve"> (</w:t>
      </w:r>
      <w:r w:rsidR="002F6BCF" w:rsidRPr="003D5B4E">
        <w:rPr>
          <w:rFonts w:ascii="Times New Roman" w:hAnsi="Times New Roman" w:cs="Times New Roman"/>
          <w:sz w:val="24"/>
          <w:szCs w:val="24"/>
        </w:rPr>
        <w:t xml:space="preserve">Bouzzine &amp; Lueg, 2022; </w:t>
      </w:r>
      <w:r w:rsidR="00EE5BEC" w:rsidRPr="003D5B4E">
        <w:rPr>
          <w:rFonts w:ascii="Times New Roman" w:hAnsi="Times New Roman" w:cs="Times New Roman"/>
          <w:sz w:val="24"/>
          <w:szCs w:val="24"/>
        </w:rPr>
        <w:t>Borelli-Kjaer et al., 2021</w:t>
      </w:r>
      <w:r w:rsidR="00797DA8" w:rsidRPr="003D5B4E">
        <w:rPr>
          <w:rFonts w:ascii="Times New Roman" w:hAnsi="Times New Roman" w:cs="Times New Roman"/>
          <w:sz w:val="24"/>
          <w:szCs w:val="24"/>
        </w:rPr>
        <w:t>)</w:t>
      </w:r>
      <w:r w:rsidR="007D3F1A" w:rsidRPr="003D5B4E">
        <w:rPr>
          <w:rFonts w:ascii="Times New Roman" w:hAnsi="Times New Roman" w:cs="Times New Roman"/>
          <w:sz w:val="24"/>
          <w:szCs w:val="24"/>
        </w:rPr>
        <w:t xml:space="preserve">, </w:t>
      </w:r>
      <w:r w:rsidR="00797DA8" w:rsidRPr="003D5B4E">
        <w:rPr>
          <w:rFonts w:ascii="Times New Roman" w:hAnsi="Times New Roman" w:cs="Times New Roman"/>
          <w:sz w:val="24"/>
          <w:szCs w:val="24"/>
        </w:rPr>
        <w:t>and</w:t>
      </w:r>
      <w:r w:rsidR="007D3F1A" w:rsidRPr="003D5B4E">
        <w:rPr>
          <w:rFonts w:ascii="Times New Roman" w:hAnsi="Times New Roman" w:cs="Times New Roman"/>
          <w:sz w:val="24"/>
          <w:szCs w:val="24"/>
        </w:rPr>
        <w:t xml:space="preserve"> shareholders</w:t>
      </w:r>
      <w:r w:rsidR="00797DA8" w:rsidRPr="003D5B4E">
        <w:rPr>
          <w:rFonts w:ascii="Times New Roman" w:hAnsi="Times New Roman" w:cs="Times New Roman"/>
          <w:sz w:val="24"/>
          <w:szCs w:val="24"/>
        </w:rPr>
        <w:t xml:space="preserve"> (Billings et al., 2022; Baker et al., 2021)</w:t>
      </w:r>
      <w:r w:rsidR="007D3F1A" w:rsidRPr="003D5B4E">
        <w:rPr>
          <w:rFonts w:ascii="Times New Roman" w:hAnsi="Times New Roman" w:cs="Times New Roman"/>
          <w:sz w:val="24"/>
          <w:szCs w:val="24"/>
        </w:rPr>
        <w:t xml:space="preserve">. Nevertheless, we </w:t>
      </w:r>
      <w:r w:rsidR="00CA0AB3" w:rsidRPr="003D5B4E">
        <w:rPr>
          <w:rFonts w:ascii="Times New Roman" w:hAnsi="Times New Roman" w:cs="Times New Roman"/>
          <w:sz w:val="24"/>
          <w:szCs w:val="24"/>
        </w:rPr>
        <w:t>identify weaknesses and areas for improvement</w:t>
      </w:r>
      <w:r w:rsidR="00CA0AB3">
        <w:rPr>
          <w:rFonts w:ascii="Times New Roman" w:hAnsi="Times New Roman" w:cs="Times New Roman"/>
          <w:sz w:val="24"/>
          <w:szCs w:val="24"/>
        </w:rPr>
        <w:t>.</w:t>
      </w:r>
    </w:p>
    <w:p w14:paraId="15EF28E3" w14:textId="0C23E119" w:rsidR="00EE5BEC" w:rsidRPr="003D5B4E" w:rsidRDefault="00EE5BEC"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Our findings make several contributions to the extant literature on prevention and response to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and are relevant for policymakers and practitioners. First, by </w:t>
      </w:r>
      <w:r w:rsidR="00CA0AB3" w:rsidRPr="003D5B4E">
        <w:rPr>
          <w:rFonts w:ascii="Times New Roman" w:hAnsi="Times New Roman" w:cs="Times New Roman"/>
          <w:sz w:val="24"/>
          <w:szCs w:val="24"/>
        </w:rPr>
        <w:t xml:space="preserve">synthesizing </w:t>
      </w:r>
      <w:r w:rsidR="006C3533">
        <w:rPr>
          <w:rFonts w:ascii="Times New Roman" w:hAnsi="Times New Roman" w:cs="Times New Roman"/>
          <w:sz w:val="24"/>
          <w:szCs w:val="24"/>
        </w:rPr>
        <w:t xml:space="preserve">the </w:t>
      </w:r>
      <w:r w:rsidR="00CA0AB3" w:rsidRPr="003D5B4E">
        <w:rPr>
          <w:rFonts w:ascii="Times New Roman" w:hAnsi="Times New Roman" w:cs="Times New Roman"/>
          <w:sz w:val="24"/>
          <w:szCs w:val="24"/>
        </w:rPr>
        <w:t xml:space="preserve">literature on SH prevention measures and response strategies and </w:t>
      </w:r>
      <w:r w:rsidR="006C3533">
        <w:rPr>
          <w:rFonts w:ascii="Times New Roman" w:hAnsi="Times New Roman" w:cs="Times New Roman"/>
          <w:sz w:val="24"/>
          <w:szCs w:val="24"/>
        </w:rPr>
        <w:t>building upon</w:t>
      </w:r>
      <w:r w:rsidR="00CA0AB3" w:rsidRPr="003D5B4E">
        <w:rPr>
          <w:rFonts w:ascii="Times New Roman" w:hAnsi="Times New Roman" w:cs="Times New Roman"/>
          <w:sz w:val="24"/>
          <w:szCs w:val="24"/>
        </w:rPr>
        <w:t xml:space="preserve"> existing frameworks by including the function of bystanders and recent work</w:t>
      </w:r>
      <w:r w:rsidRPr="003D5B4E">
        <w:rPr>
          <w:rFonts w:ascii="Times New Roman" w:hAnsi="Times New Roman" w:cs="Times New Roman"/>
          <w:sz w:val="24"/>
          <w:szCs w:val="24"/>
        </w:rPr>
        <w:t xml:space="preserve">. </w:t>
      </w:r>
      <w:r w:rsidR="00CA0AB3">
        <w:rPr>
          <w:rFonts w:ascii="Times New Roman" w:hAnsi="Times New Roman" w:cs="Times New Roman"/>
          <w:sz w:val="24"/>
          <w:szCs w:val="24"/>
        </w:rPr>
        <w:t>Second, by assessing the effect</w:t>
      </w:r>
      <w:r w:rsidR="006C3533">
        <w:rPr>
          <w:rFonts w:ascii="Times New Roman" w:hAnsi="Times New Roman" w:cs="Times New Roman"/>
          <w:sz w:val="24"/>
          <w:szCs w:val="24"/>
        </w:rPr>
        <w:t>iveness</w:t>
      </w:r>
      <w:r w:rsidR="00CA0AB3">
        <w:rPr>
          <w:rFonts w:ascii="Times New Roman" w:hAnsi="Times New Roman" w:cs="Times New Roman"/>
          <w:sz w:val="24"/>
          <w:szCs w:val="24"/>
        </w:rPr>
        <w:t xml:space="preserve"> of the required measures from the ESRS on SH. </w:t>
      </w:r>
      <w:r w:rsidRPr="003D5B4E">
        <w:rPr>
          <w:rFonts w:ascii="Times New Roman" w:hAnsi="Times New Roman" w:cs="Times New Roman"/>
          <w:sz w:val="24"/>
          <w:szCs w:val="24"/>
        </w:rPr>
        <w:t xml:space="preserve">Third, </w:t>
      </w:r>
      <w:r w:rsidR="00CA0AB3">
        <w:rPr>
          <w:rFonts w:ascii="Times New Roman" w:hAnsi="Times New Roman" w:cs="Times New Roman"/>
          <w:sz w:val="24"/>
          <w:szCs w:val="24"/>
        </w:rPr>
        <w:t>by discussing potential threats of the disclosure requirements</w:t>
      </w:r>
      <w:r w:rsidRPr="003D5B4E">
        <w:rPr>
          <w:rFonts w:ascii="Times New Roman" w:hAnsi="Times New Roman" w:cs="Times New Roman"/>
          <w:sz w:val="24"/>
          <w:szCs w:val="24"/>
        </w:rPr>
        <w:t>.</w:t>
      </w:r>
    </w:p>
    <w:p w14:paraId="39167DD6" w14:textId="4796AFE5" w:rsidR="0093539E" w:rsidRPr="003D5B4E" w:rsidRDefault="0093539E"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 xml:space="preserve">The remainder of the paper is structured as follows. Section 2 reports our literature review while section 3 describes our theoretical framework. In Section 4, we </w:t>
      </w:r>
      <w:r w:rsidR="00874BBE" w:rsidRPr="003D5B4E">
        <w:rPr>
          <w:rFonts w:ascii="Times New Roman" w:hAnsi="Times New Roman" w:cs="Times New Roman"/>
          <w:sz w:val="24"/>
          <w:szCs w:val="24"/>
        </w:rPr>
        <w:t>assess the impact of</w:t>
      </w:r>
      <w:r w:rsidRPr="003D5B4E">
        <w:rPr>
          <w:rFonts w:ascii="Times New Roman" w:hAnsi="Times New Roman" w:cs="Times New Roman"/>
          <w:sz w:val="24"/>
          <w:szCs w:val="24"/>
        </w:rPr>
        <w:t xml:space="preserve"> the current legislation </w:t>
      </w:r>
      <w:r w:rsidR="00874BBE" w:rsidRPr="003D5B4E">
        <w:rPr>
          <w:rFonts w:ascii="Times New Roman" w:hAnsi="Times New Roman" w:cs="Times New Roman"/>
          <w:sz w:val="24"/>
          <w:szCs w:val="24"/>
        </w:rPr>
        <w:t>and</w:t>
      </w:r>
      <w:r w:rsidRPr="003D5B4E">
        <w:rPr>
          <w:rFonts w:ascii="Times New Roman" w:hAnsi="Times New Roman" w:cs="Times New Roman"/>
          <w:sz w:val="24"/>
          <w:szCs w:val="24"/>
        </w:rPr>
        <w:t xml:space="preserve"> </w:t>
      </w:r>
      <w:r w:rsidR="00874BBE" w:rsidRPr="003D5B4E">
        <w:rPr>
          <w:rFonts w:ascii="Times New Roman" w:hAnsi="Times New Roman" w:cs="Times New Roman"/>
          <w:sz w:val="24"/>
          <w:szCs w:val="24"/>
        </w:rPr>
        <w:t>discuss it</w:t>
      </w:r>
      <w:r w:rsidRPr="003D5B4E">
        <w:rPr>
          <w:rFonts w:ascii="Times New Roman" w:hAnsi="Times New Roman" w:cs="Times New Roman"/>
          <w:sz w:val="24"/>
          <w:szCs w:val="24"/>
        </w:rPr>
        <w:t xml:space="preserve">. Section </w:t>
      </w:r>
      <w:r w:rsidR="00874BBE" w:rsidRPr="003D5B4E">
        <w:rPr>
          <w:rFonts w:ascii="Times New Roman" w:hAnsi="Times New Roman" w:cs="Times New Roman"/>
          <w:sz w:val="24"/>
          <w:szCs w:val="24"/>
        </w:rPr>
        <w:t>5</w:t>
      </w:r>
      <w:r w:rsidRPr="003D5B4E">
        <w:rPr>
          <w:rFonts w:ascii="Times New Roman" w:hAnsi="Times New Roman" w:cs="Times New Roman"/>
          <w:sz w:val="24"/>
          <w:szCs w:val="24"/>
        </w:rPr>
        <w:t xml:space="preserve"> concludes the paper.</w:t>
      </w:r>
    </w:p>
    <w:p w14:paraId="3D249419" w14:textId="77777777" w:rsidR="00C4014A" w:rsidRPr="003D5B4E" w:rsidRDefault="00C4014A" w:rsidP="0041236F">
      <w:pPr>
        <w:spacing w:line="480" w:lineRule="auto"/>
        <w:jc w:val="both"/>
        <w:rPr>
          <w:rFonts w:ascii="Times New Roman" w:hAnsi="Times New Roman" w:cs="Times New Roman"/>
          <w:b/>
          <w:bCs/>
          <w:sz w:val="24"/>
          <w:szCs w:val="24"/>
        </w:rPr>
      </w:pPr>
    </w:p>
    <w:p w14:paraId="09BD5AD8" w14:textId="7A3778DC" w:rsidR="00B6106C" w:rsidRPr="003D5B4E" w:rsidRDefault="00B6106C" w:rsidP="0041236F">
      <w:pPr>
        <w:spacing w:line="480" w:lineRule="auto"/>
        <w:jc w:val="both"/>
        <w:rPr>
          <w:rFonts w:ascii="Times New Roman" w:hAnsi="Times New Roman" w:cs="Times New Roman"/>
          <w:b/>
          <w:bCs/>
          <w:sz w:val="24"/>
          <w:szCs w:val="24"/>
        </w:rPr>
      </w:pPr>
      <w:r w:rsidRPr="003D5B4E">
        <w:rPr>
          <w:rFonts w:ascii="Times New Roman" w:hAnsi="Times New Roman" w:cs="Times New Roman"/>
          <w:b/>
          <w:bCs/>
          <w:sz w:val="24"/>
          <w:szCs w:val="24"/>
        </w:rPr>
        <w:t>Literature Review</w:t>
      </w:r>
    </w:p>
    <w:p w14:paraId="0D42A0B1" w14:textId="72313AE9" w:rsidR="00B6106C" w:rsidRPr="003D5B4E" w:rsidRDefault="00B6106C" w:rsidP="0041236F">
      <w:pPr>
        <w:spacing w:line="480" w:lineRule="auto"/>
        <w:jc w:val="both"/>
        <w:rPr>
          <w:rFonts w:ascii="Times New Roman" w:hAnsi="Times New Roman" w:cs="Times New Roman"/>
          <w:i/>
          <w:iCs/>
          <w:sz w:val="24"/>
          <w:szCs w:val="24"/>
        </w:rPr>
      </w:pPr>
      <w:r w:rsidRPr="003D5B4E">
        <w:rPr>
          <w:rFonts w:ascii="Times New Roman" w:hAnsi="Times New Roman" w:cs="Times New Roman"/>
          <w:i/>
          <w:iCs/>
          <w:sz w:val="24"/>
          <w:szCs w:val="24"/>
        </w:rPr>
        <w:t>The issue of workplace sexual harassment</w:t>
      </w:r>
    </w:p>
    <w:p w14:paraId="1EBE85B7" w14:textId="5EE1F3EE" w:rsidR="00CA7D29" w:rsidRPr="003D5B4E" w:rsidRDefault="000D4922"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most widely known definition of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originates from the Equal Employment Opportunity Commission (EEOC)</w:t>
      </w:r>
      <w:r w:rsidR="006A2FC0" w:rsidRPr="003D5B4E">
        <w:rPr>
          <w:rFonts w:ascii="Times New Roman" w:hAnsi="Times New Roman" w:cs="Times New Roman"/>
          <w:sz w:val="24"/>
          <w:szCs w:val="24"/>
        </w:rPr>
        <w:t xml:space="preserve">. The EEOC is responsible for bringing into force federal laws on discrimination in employment (U.S. Equal Employment Opportunity Commission, n.d.). The definition of </w:t>
      </w:r>
      <w:r w:rsidR="00103072" w:rsidRPr="003D5B4E">
        <w:rPr>
          <w:rFonts w:ascii="Times New Roman" w:hAnsi="Times New Roman" w:cs="Times New Roman"/>
          <w:sz w:val="24"/>
          <w:szCs w:val="24"/>
        </w:rPr>
        <w:t>SH</w:t>
      </w:r>
      <w:r w:rsidR="006A2FC0" w:rsidRPr="003D5B4E">
        <w:rPr>
          <w:rFonts w:ascii="Times New Roman" w:hAnsi="Times New Roman" w:cs="Times New Roman"/>
          <w:sz w:val="24"/>
          <w:szCs w:val="24"/>
        </w:rPr>
        <w:t xml:space="preserve"> according to the EEOC is as follows:</w:t>
      </w:r>
      <w:r w:rsidR="00CA7D29" w:rsidRPr="003D5B4E">
        <w:rPr>
          <w:rFonts w:ascii="Times New Roman" w:hAnsi="Times New Roman" w:cs="Times New Roman"/>
          <w:sz w:val="24"/>
          <w:szCs w:val="24"/>
        </w:rPr>
        <w:t xml:space="preserve"> </w:t>
      </w:r>
    </w:p>
    <w:p w14:paraId="76A17C17" w14:textId="6BB3A405" w:rsidR="00CA7D29" w:rsidRPr="003D5B4E" w:rsidRDefault="00CA7D29"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“Unwelcome sexual advances, requests for sexual favors, and other verbal or physical conduct of a sexual nature constitutes sexual harassment when: 1. submission to such conduct is made either explicitly or implicitly a term or condition of an individual’s employment, 2. submission to or rejection of such conduct by an individual is used as the basis for employment decisions affecting such individual, or 3. such conduct has the purpose or effect of unreasonably interfering with an individual’s work performance, or creating an intimidating, hostile or offensive work environment.” (29 Code of Federal Regulations §1604.11</w:t>
      </w:r>
      <w:r w:rsidR="00657C95" w:rsidRPr="003D5B4E">
        <w:rPr>
          <w:rFonts w:ascii="Times New Roman" w:hAnsi="Times New Roman" w:cs="Times New Roman"/>
          <w:sz w:val="24"/>
          <w:szCs w:val="24"/>
        </w:rPr>
        <w:t>)</w:t>
      </w:r>
    </w:p>
    <w:p w14:paraId="028019C9" w14:textId="6A337F78" w:rsidR="00DB31AA" w:rsidRPr="003D5B4E" w:rsidRDefault="00DB31A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Most states in the U.S. have </w:t>
      </w:r>
      <w:r w:rsidR="00FB6682" w:rsidRPr="003D5B4E">
        <w:rPr>
          <w:rFonts w:ascii="Times New Roman" w:hAnsi="Times New Roman" w:cs="Times New Roman"/>
          <w:sz w:val="24"/>
          <w:szCs w:val="24"/>
        </w:rPr>
        <w:t>comparable</w:t>
      </w:r>
      <w:r w:rsidRPr="003D5B4E">
        <w:rPr>
          <w:rFonts w:ascii="Times New Roman" w:hAnsi="Times New Roman" w:cs="Times New Roman"/>
          <w:sz w:val="24"/>
          <w:szCs w:val="24"/>
        </w:rPr>
        <w:t xml:space="preserve"> laws and </w:t>
      </w:r>
      <w:r w:rsidR="00FB6682" w:rsidRPr="003D5B4E">
        <w:rPr>
          <w:rFonts w:ascii="Times New Roman" w:hAnsi="Times New Roman" w:cs="Times New Roman"/>
          <w:sz w:val="24"/>
          <w:szCs w:val="24"/>
        </w:rPr>
        <w:t>restrictions</w:t>
      </w:r>
      <w:r w:rsidR="004146A4">
        <w:rPr>
          <w:rFonts w:ascii="Times New Roman" w:hAnsi="Times New Roman" w:cs="Times New Roman"/>
          <w:sz w:val="24"/>
          <w:szCs w:val="24"/>
        </w:rPr>
        <w:t xml:space="preserve"> </w:t>
      </w:r>
      <w:r w:rsidR="004146A4" w:rsidRPr="003D5B4E">
        <w:rPr>
          <w:rFonts w:ascii="Times New Roman" w:hAnsi="Times New Roman" w:cs="Times New Roman"/>
          <w:sz w:val="24"/>
          <w:szCs w:val="24"/>
        </w:rPr>
        <w:t>(Fitzgerald &amp; Cortina, 2017)</w:t>
      </w:r>
      <w:r w:rsidR="006A2FC0" w:rsidRPr="003D5B4E">
        <w:rPr>
          <w:rFonts w:ascii="Times New Roman" w:hAnsi="Times New Roman" w:cs="Times New Roman"/>
          <w:sz w:val="24"/>
          <w:szCs w:val="24"/>
        </w:rPr>
        <w:t xml:space="preserve">. However, </w:t>
      </w:r>
      <w:r w:rsidR="00FB6682" w:rsidRPr="003D5B4E">
        <w:rPr>
          <w:rFonts w:ascii="Times New Roman" w:hAnsi="Times New Roman" w:cs="Times New Roman"/>
          <w:sz w:val="24"/>
          <w:szCs w:val="24"/>
        </w:rPr>
        <w:t xml:space="preserve">like federal law, they are not strictly behavioral. The definition </w:t>
      </w:r>
      <w:r w:rsidR="006A2FC0" w:rsidRPr="003D5B4E">
        <w:rPr>
          <w:rFonts w:ascii="Times New Roman" w:hAnsi="Times New Roman" w:cs="Times New Roman"/>
          <w:sz w:val="24"/>
          <w:szCs w:val="24"/>
        </w:rPr>
        <w:t>is</w:t>
      </w:r>
      <w:r w:rsidR="00FB6682" w:rsidRPr="003D5B4E">
        <w:rPr>
          <w:rFonts w:ascii="Times New Roman" w:hAnsi="Times New Roman" w:cs="Times New Roman"/>
          <w:sz w:val="24"/>
          <w:szCs w:val="24"/>
        </w:rPr>
        <w:t xml:space="preserve"> a broad </w:t>
      </w:r>
      <w:r w:rsidR="006A2FC0" w:rsidRPr="003D5B4E">
        <w:rPr>
          <w:rFonts w:ascii="Times New Roman" w:hAnsi="Times New Roman" w:cs="Times New Roman"/>
          <w:sz w:val="24"/>
          <w:szCs w:val="24"/>
        </w:rPr>
        <w:t>representation</w:t>
      </w:r>
      <w:r w:rsidR="00FB6682" w:rsidRPr="003D5B4E">
        <w:rPr>
          <w:rFonts w:ascii="Times New Roman" w:hAnsi="Times New Roman" w:cs="Times New Roman"/>
          <w:sz w:val="24"/>
          <w:szCs w:val="24"/>
        </w:rPr>
        <w:t xml:space="preserve"> of prohibited </w:t>
      </w:r>
      <w:r w:rsidR="006A2FC0" w:rsidRPr="003D5B4E">
        <w:rPr>
          <w:rFonts w:ascii="Times New Roman" w:hAnsi="Times New Roman" w:cs="Times New Roman"/>
          <w:sz w:val="24"/>
          <w:szCs w:val="24"/>
        </w:rPr>
        <w:t>actions, leaving a great deal of leeway for the courts to decide. Legal decisions over the years have elucidated the criteria necessary for something to be legally</w:t>
      </w:r>
      <w:r w:rsidR="003539C8">
        <w:rPr>
          <w:rFonts w:ascii="Times New Roman" w:hAnsi="Times New Roman" w:cs="Times New Roman"/>
          <w:sz w:val="24"/>
          <w:szCs w:val="24"/>
        </w:rPr>
        <w:t xml:space="preserve"> </w:t>
      </w:r>
      <w:r w:rsidR="006A2FC0" w:rsidRPr="003D5B4E">
        <w:rPr>
          <w:rFonts w:ascii="Times New Roman" w:hAnsi="Times New Roman" w:cs="Times New Roman"/>
          <w:sz w:val="24"/>
          <w:szCs w:val="24"/>
        </w:rPr>
        <w:lastRenderedPageBreak/>
        <w:t xml:space="preserve">recognizable as </w:t>
      </w:r>
      <w:r w:rsidR="00103072" w:rsidRPr="003D5B4E">
        <w:rPr>
          <w:rFonts w:ascii="Times New Roman" w:hAnsi="Times New Roman" w:cs="Times New Roman"/>
          <w:sz w:val="24"/>
          <w:szCs w:val="24"/>
        </w:rPr>
        <w:t>SH</w:t>
      </w:r>
      <w:r w:rsidR="006A2FC0" w:rsidRPr="003D5B4E">
        <w:rPr>
          <w:rFonts w:ascii="Times New Roman" w:hAnsi="Times New Roman" w:cs="Times New Roman"/>
          <w:sz w:val="24"/>
          <w:szCs w:val="24"/>
        </w:rPr>
        <w:t>, introducing various considerations (e.g., statutes of limitations, issues of welcomeness, liability, procedural requirements) that delineate the scope of the legal charge.</w:t>
      </w:r>
    </w:p>
    <w:p w14:paraId="02F474DD" w14:textId="38FD7112" w:rsidR="00657C95" w:rsidRPr="003D5B4E" w:rsidRDefault="00657C95"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In the realm of EU law, the Gender Recast Directive 2006/54/EC provides the legal framework for the prohibition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The European Commission </w:t>
      </w:r>
      <w:r w:rsidR="00591F9B" w:rsidRPr="003D5B4E">
        <w:rPr>
          <w:rFonts w:ascii="Times New Roman" w:hAnsi="Times New Roman" w:cs="Times New Roman"/>
          <w:sz w:val="24"/>
          <w:szCs w:val="24"/>
        </w:rPr>
        <w:t xml:space="preserve">(EC) </w:t>
      </w:r>
      <w:r w:rsidRPr="003D5B4E">
        <w:rPr>
          <w:rFonts w:ascii="Times New Roman" w:hAnsi="Times New Roman" w:cs="Times New Roman"/>
          <w:sz w:val="24"/>
          <w:szCs w:val="24"/>
        </w:rPr>
        <w:t xml:space="preserve">defines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as actions </w:t>
      </w:r>
    </w:p>
    <w:p w14:paraId="3670460B" w14:textId="77777777" w:rsidR="00657C95" w:rsidRPr="003D5B4E" w:rsidRDefault="00657C95"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“where any form of unwanted verbal, non-verbal or physical conduct of a sexual nature occurs, with the purpose or effect of violating the dignity of a person, in particular when creating an intimidating, hostile, degrading, humiliating or offensive environment” (Directive 2006/54/EC Title I, Article 2, 1. (d)).</w:t>
      </w:r>
    </w:p>
    <w:p w14:paraId="5FAA3264" w14:textId="49B1C140" w:rsidR="006A2FC0" w:rsidRPr="003D5B4E" w:rsidRDefault="00591F9B"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EC distinguishes between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and harassment. Both definitions incorporate the violation of an individual’s dignity and the creation of an intimidating, hostile, degrading, humiliating or offensive environment. </w:t>
      </w:r>
      <w:r w:rsidR="00520862" w:rsidRPr="003D5B4E">
        <w:rPr>
          <w:rFonts w:ascii="Times New Roman" w:hAnsi="Times New Roman" w:cs="Times New Roman"/>
          <w:sz w:val="24"/>
          <w:szCs w:val="24"/>
        </w:rPr>
        <w:t xml:space="preserve">The primary differentiation occurs in instances of harassment grounded in a person’s sex, whereas </w:t>
      </w:r>
      <w:r w:rsidR="00103072" w:rsidRPr="003D5B4E">
        <w:rPr>
          <w:rFonts w:ascii="Times New Roman" w:hAnsi="Times New Roman" w:cs="Times New Roman"/>
          <w:sz w:val="24"/>
          <w:szCs w:val="24"/>
        </w:rPr>
        <w:t>SH</w:t>
      </w:r>
      <w:r w:rsidR="00520862" w:rsidRPr="003D5B4E">
        <w:rPr>
          <w:rFonts w:ascii="Times New Roman" w:hAnsi="Times New Roman" w:cs="Times New Roman"/>
          <w:sz w:val="24"/>
          <w:szCs w:val="24"/>
        </w:rPr>
        <w:t xml:space="preserve"> involves the unwelcome imposition of actions of a sexual nature.</w:t>
      </w:r>
      <w:r w:rsidRPr="003D5B4E">
        <w:rPr>
          <w:rFonts w:ascii="Times New Roman" w:hAnsi="Times New Roman" w:cs="Times New Roman"/>
          <w:sz w:val="24"/>
          <w:szCs w:val="24"/>
        </w:rPr>
        <w:t xml:space="preserve"> All </w:t>
      </w:r>
      <w:r w:rsidR="00520862" w:rsidRPr="003D5B4E">
        <w:rPr>
          <w:rFonts w:ascii="Times New Roman" w:hAnsi="Times New Roman" w:cs="Times New Roman"/>
          <w:sz w:val="24"/>
          <w:szCs w:val="24"/>
        </w:rPr>
        <w:t>EU member states base their</w:t>
      </w:r>
      <w:r w:rsidRPr="003D5B4E">
        <w:rPr>
          <w:rFonts w:ascii="Times New Roman" w:hAnsi="Times New Roman" w:cs="Times New Roman"/>
          <w:sz w:val="24"/>
          <w:szCs w:val="24"/>
        </w:rPr>
        <w:t xml:space="preserve"> national legislation on the EU definition</w:t>
      </w:r>
      <w:r w:rsidR="004146A4">
        <w:rPr>
          <w:rFonts w:ascii="Times New Roman" w:hAnsi="Times New Roman" w:cs="Times New Roman"/>
          <w:sz w:val="24"/>
          <w:szCs w:val="24"/>
        </w:rPr>
        <w:t xml:space="preserve"> (</w:t>
      </w:r>
      <w:r w:rsidR="00570C33" w:rsidRPr="00570C33">
        <w:rPr>
          <w:rFonts w:ascii="Times New Roman" w:hAnsi="Times New Roman" w:cs="Times New Roman"/>
          <w:sz w:val="24"/>
          <w:szCs w:val="24"/>
        </w:rPr>
        <w:t xml:space="preserve">European Commission, Directorate-General for </w:t>
      </w:r>
      <w:proofErr w:type="gramStart"/>
      <w:r w:rsidR="00570C33" w:rsidRPr="00570C33">
        <w:rPr>
          <w:rFonts w:ascii="Times New Roman" w:hAnsi="Times New Roman" w:cs="Times New Roman"/>
          <w:sz w:val="24"/>
          <w:szCs w:val="24"/>
        </w:rPr>
        <w:t>Justice</w:t>
      </w:r>
      <w:proofErr w:type="gramEnd"/>
      <w:r w:rsidR="00570C33" w:rsidRPr="00570C33">
        <w:rPr>
          <w:rFonts w:ascii="Times New Roman" w:hAnsi="Times New Roman" w:cs="Times New Roman"/>
          <w:sz w:val="24"/>
          <w:szCs w:val="24"/>
        </w:rPr>
        <w:t xml:space="preserve"> and Consumers, </w:t>
      </w:r>
      <w:proofErr w:type="spellStart"/>
      <w:r w:rsidR="00570C33" w:rsidRPr="00570C33">
        <w:rPr>
          <w:rFonts w:ascii="Times New Roman" w:hAnsi="Times New Roman" w:cs="Times New Roman"/>
          <w:sz w:val="24"/>
          <w:szCs w:val="24"/>
        </w:rPr>
        <w:t>Böök</w:t>
      </w:r>
      <w:proofErr w:type="spellEnd"/>
      <w:r w:rsidR="00570C33" w:rsidRPr="00570C33">
        <w:rPr>
          <w:rFonts w:ascii="Times New Roman" w:hAnsi="Times New Roman" w:cs="Times New Roman"/>
          <w:sz w:val="24"/>
          <w:szCs w:val="24"/>
        </w:rPr>
        <w:t xml:space="preserve">, </w:t>
      </w:r>
      <w:r w:rsidR="00570C33">
        <w:rPr>
          <w:rFonts w:ascii="Times New Roman" w:hAnsi="Times New Roman" w:cs="Times New Roman"/>
          <w:sz w:val="24"/>
          <w:szCs w:val="24"/>
        </w:rPr>
        <w:t xml:space="preserve">et al., </w:t>
      </w:r>
      <w:r w:rsidR="00570C33" w:rsidRPr="00570C33">
        <w:rPr>
          <w:rFonts w:ascii="Times New Roman" w:hAnsi="Times New Roman" w:cs="Times New Roman"/>
          <w:sz w:val="24"/>
          <w:szCs w:val="24"/>
        </w:rPr>
        <w:t>2023</w:t>
      </w:r>
      <w:r w:rsidR="004146A4">
        <w:rPr>
          <w:rFonts w:ascii="Times New Roman" w:hAnsi="Times New Roman" w:cs="Times New Roman"/>
          <w:sz w:val="24"/>
          <w:szCs w:val="24"/>
        </w:rPr>
        <w:t>)</w:t>
      </w:r>
      <w:r w:rsidRPr="003D5B4E">
        <w:rPr>
          <w:rFonts w:ascii="Times New Roman" w:hAnsi="Times New Roman" w:cs="Times New Roman"/>
          <w:sz w:val="24"/>
          <w:szCs w:val="24"/>
        </w:rPr>
        <w:t xml:space="preserve">. Most countries even </w:t>
      </w:r>
      <w:r w:rsidR="00520862" w:rsidRPr="003D5B4E">
        <w:rPr>
          <w:rFonts w:ascii="Times New Roman" w:hAnsi="Times New Roman" w:cs="Times New Roman"/>
          <w:sz w:val="24"/>
          <w:szCs w:val="24"/>
        </w:rPr>
        <w:t>extend</w:t>
      </w:r>
      <w:r w:rsidRPr="003D5B4E">
        <w:rPr>
          <w:rFonts w:ascii="Times New Roman" w:hAnsi="Times New Roman" w:cs="Times New Roman"/>
          <w:sz w:val="24"/>
          <w:szCs w:val="24"/>
        </w:rPr>
        <w:t xml:space="preserve"> the scope of the prohibition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w:t>
      </w:r>
    </w:p>
    <w:p w14:paraId="37921BA0" w14:textId="577F39F9" w:rsidR="00146482" w:rsidRPr="003D5B4E" w:rsidRDefault="00C3719D"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Research in this field generally adopts a feminist perspective, framing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as fundamentally a women’s issue (Fitzgerald &amp; Cortina, 2017). While acknowledging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’s occurrence among men </w:t>
      </w:r>
      <w:r w:rsidR="00B24FD0" w:rsidRPr="003D5B4E">
        <w:rPr>
          <w:rFonts w:ascii="Times New Roman" w:hAnsi="Times New Roman" w:cs="Times New Roman"/>
          <w:sz w:val="24"/>
          <w:szCs w:val="24"/>
        </w:rPr>
        <w:t xml:space="preserve">and minorities, women are harassed due (and only) to their gender, and men, when harassed, are often perceived as “not man enough”, equating to being treated as women (Berdahl et al., 1996). In contrast to legislation, science conceptualizes </w:t>
      </w:r>
      <w:r w:rsidR="00103072" w:rsidRPr="003D5B4E">
        <w:rPr>
          <w:rFonts w:ascii="Times New Roman" w:hAnsi="Times New Roman" w:cs="Times New Roman"/>
          <w:sz w:val="24"/>
          <w:szCs w:val="24"/>
        </w:rPr>
        <w:t>SH</w:t>
      </w:r>
      <w:r w:rsidR="00B24FD0" w:rsidRPr="003D5B4E">
        <w:rPr>
          <w:rFonts w:ascii="Times New Roman" w:hAnsi="Times New Roman" w:cs="Times New Roman"/>
          <w:sz w:val="24"/>
          <w:szCs w:val="24"/>
        </w:rPr>
        <w:t xml:space="preserve"> behaviorally to measure its incidence reliably. This perspective recognizes </w:t>
      </w:r>
      <w:r w:rsidR="00103072" w:rsidRPr="003D5B4E">
        <w:rPr>
          <w:rFonts w:ascii="Times New Roman" w:hAnsi="Times New Roman" w:cs="Times New Roman"/>
          <w:sz w:val="24"/>
          <w:szCs w:val="24"/>
        </w:rPr>
        <w:t>SH</w:t>
      </w:r>
      <w:r w:rsidR="00B24FD0" w:rsidRPr="003D5B4E">
        <w:rPr>
          <w:rFonts w:ascii="Times New Roman" w:hAnsi="Times New Roman" w:cs="Times New Roman"/>
          <w:sz w:val="24"/>
          <w:szCs w:val="24"/>
        </w:rPr>
        <w:t xml:space="preserve"> as a gendered manifestation within the broader societal pattern of dominance and oppression. </w:t>
      </w:r>
      <w:r w:rsidR="004173D4" w:rsidRPr="003D5B4E">
        <w:rPr>
          <w:rFonts w:ascii="Times New Roman" w:hAnsi="Times New Roman" w:cs="Times New Roman"/>
          <w:sz w:val="24"/>
          <w:szCs w:val="24"/>
        </w:rPr>
        <w:t xml:space="preserve">Fitzgerald et al. (1988) refined the 5-category classification approach by Till (1980) into three categories: sexual coercion, unwanted sexual attention, and gender harassment. </w:t>
      </w:r>
      <w:r w:rsidR="00F87A79" w:rsidRPr="003D5B4E">
        <w:rPr>
          <w:rFonts w:ascii="Times New Roman" w:hAnsi="Times New Roman" w:cs="Times New Roman"/>
          <w:sz w:val="24"/>
          <w:szCs w:val="24"/>
        </w:rPr>
        <w:t>Sexual coercion entails an</w:t>
      </w:r>
      <w:r w:rsidR="00EE49E2" w:rsidRPr="003D5B4E">
        <w:rPr>
          <w:rFonts w:ascii="Times New Roman" w:hAnsi="Times New Roman" w:cs="Times New Roman"/>
          <w:sz w:val="24"/>
          <w:szCs w:val="24"/>
        </w:rPr>
        <w:t xml:space="preserve"> “implicit or </w:t>
      </w:r>
      <w:r w:rsidR="00EE49E2" w:rsidRPr="003D5B4E">
        <w:rPr>
          <w:rFonts w:ascii="Times New Roman" w:hAnsi="Times New Roman" w:cs="Times New Roman"/>
          <w:sz w:val="24"/>
          <w:szCs w:val="24"/>
        </w:rPr>
        <w:lastRenderedPageBreak/>
        <w:t xml:space="preserve">explicit demand for sexual favors through the threat of negative job-related consequences or the promise of job-rewards (Schneider et al., 1997, p. 402). It involves combining unwanted sexual attention with job-related pressures, such as bribes or threats. Even though sexual coercion is often considered the paradigmatic harassment experience, it is relatively rare. </w:t>
      </w:r>
      <w:r w:rsidR="004173D4" w:rsidRPr="003D5B4E">
        <w:rPr>
          <w:rFonts w:ascii="Times New Roman" w:hAnsi="Times New Roman" w:cs="Times New Roman"/>
          <w:sz w:val="24"/>
          <w:szCs w:val="24"/>
        </w:rPr>
        <w:t>Unwanted sexual attention describes “expressions of romantic or sexual interest that are unwelcome, unreciprocated, and offensive to the recipient” (Leskinen et al., 2011, p.26).</w:t>
      </w:r>
      <w:r w:rsidR="00EE49E2" w:rsidRPr="003D5B4E">
        <w:rPr>
          <w:rFonts w:ascii="Times New Roman" w:hAnsi="Times New Roman" w:cs="Times New Roman"/>
          <w:sz w:val="24"/>
          <w:szCs w:val="24"/>
        </w:rPr>
        <w:t xml:space="preserve"> It involves uninvited, unwanted, and unreciprocated sexual advances, encompassing various verbal and physical behaviors such as sexually suggestive comments and compliments, attempts</w:t>
      </w:r>
      <w:r w:rsidR="00E63724" w:rsidRPr="003D5B4E">
        <w:rPr>
          <w:rFonts w:ascii="Times New Roman" w:hAnsi="Times New Roman" w:cs="Times New Roman"/>
          <w:sz w:val="24"/>
          <w:szCs w:val="24"/>
        </w:rPr>
        <w:t xml:space="preserve"> to engage in sexual or romantic relationships, and unwanted touching. These experiences are not expressly tied to job conditions or consideration even though they are annoying and unwelcome. Gender harassment is characterized by disparagement based on gender</w:t>
      </w:r>
      <w:r w:rsidR="008113AD" w:rsidRPr="003D5B4E">
        <w:rPr>
          <w:rFonts w:ascii="Times New Roman" w:hAnsi="Times New Roman" w:cs="Times New Roman"/>
          <w:sz w:val="24"/>
          <w:szCs w:val="24"/>
        </w:rPr>
        <w:t>.</w:t>
      </w:r>
      <w:r w:rsidR="00610869" w:rsidRPr="003D5B4E">
        <w:rPr>
          <w:rFonts w:ascii="Times New Roman" w:hAnsi="Times New Roman" w:cs="Times New Roman"/>
          <w:sz w:val="24"/>
          <w:szCs w:val="24"/>
        </w:rPr>
        <w:t xml:space="preserve"> It consists essentially of contempt and hostility, which has introduced the label gender hostility.</w:t>
      </w:r>
      <w:r w:rsidR="008113AD" w:rsidRPr="003D5B4E">
        <w:rPr>
          <w:rFonts w:ascii="Times New Roman" w:hAnsi="Times New Roman" w:cs="Times New Roman"/>
          <w:sz w:val="24"/>
          <w:szCs w:val="24"/>
        </w:rPr>
        <w:t xml:space="preserve"> </w:t>
      </w:r>
      <w:r w:rsidR="00E63724" w:rsidRPr="003D5B4E">
        <w:rPr>
          <w:rFonts w:ascii="Times New Roman" w:hAnsi="Times New Roman" w:cs="Times New Roman"/>
          <w:sz w:val="24"/>
          <w:szCs w:val="24"/>
        </w:rPr>
        <w:t>Sexist gender harassment</w:t>
      </w:r>
      <w:r w:rsidR="00610869" w:rsidRPr="003D5B4E">
        <w:rPr>
          <w:rFonts w:ascii="Times New Roman" w:hAnsi="Times New Roman" w:cs="Times New Roman"/>
          <w:sz w:val="24"/>
          <w:szCs w:val="24"/>
        </w:rPr>
        <w:t xml:space="preserve"> or sexist hostility</w:t>
      </w:r>
      <w:r w:rsidR="00E63724" w:rsidRPr="003D5B4E">
        <w:rPr>
          <w:rFonts w:ascii="Times New Roman" w:hAnsi="Times New Roman" w:cs="Times New Roman"/>
          <w:sz w:val="24"/>
          <w:szCs w:val="24"/>
        </w:rPr>
        <w:t xml:space="preserve"> is “demeaning jokes or comments about [gender]” (Committee on the Impacts of Sexual Harassment in Academia et al., 2018, p. 25; Fitzgerald et al., 1995, p. 430). </w:t>
      </w:r>
      <w:r w:rsidR="00610869" w:rsidRPr="003D5B4E">
        <w:rPr>
          <w:rFonts w:ascii="Times New Roman" w:hAnsi="Times New Roman" w:cs="Times New Roman"/>
          <w:sz w:val="24"/>
          <w:szCs w:val="24"/>
        </w:rPr>
        <w:t xml:space="preserve">It includes woman-bashing jokes, </w:t>
      </w:r>
      <w:r w:rsidR="00857609" w:rsidRPr="003D5B4E">
        <w:rPr>
          <w:rFonts w:ascii="Times New Roman" w:hAnsi="Times New Roman" w:cs="Times New Roman"/>
          <w:sz w:val="24"/>
          <w:szCs w:val="24"/>
        </w:rPr>
        <w:t xml:space="preserve">insults about their competence, the irrelevance or sexual unattractiveness of older women, and comments that women have no place in certain kinds of jobs or job positions (Fitzgerald &amp; Cortina, 2017). </w:t>
      </w:r>
      <w:r w:rsidR="00146482" w:rsidRPr="003D5B4E">
        <w:rPr>
          <w:rFonts w:ascii="Times New Roman" w:hAnsi="Times New Roman" w:cs="Times New Roman"/>
          <w:sz w:val="24"/>
          <w:szCs w:val="24"/>
        </w:rPr>
        <w:t xml:space="preserve">Sexual hostility is a more harmful form of gender harassment and </w:t>
      </w:r>
      <w:r w:rsidR="006C3533">
        <w:rPr>
          <w:rFonts w:ascii="Times New Roman" w:hAnsi="Times New Roman" w:cs="Times New Roman"/>
          <w:sz w:val="24"/>
          <w:szCs w:val="24"/>
        </w:rPr>
        <w:t xml:space="preserve">is </w:t>
      </w:r>
      <w:r w:rsidR="004472FD" w:rsidRPr="003D5B4E">
        <w:rPr>
          <w:rFonts w:ascii="Times New Roman" w:hAnsi="Times New Roman" w:cs="Times New Roman"/>
          <w:sz w:val="24"/>
          <w:szCs w:val="24"/>
        </w:rPr>
        <w:t xml:space="preserve">defined as “the use of sexually crude terms that denigrate people based on their gender (e.g., using insults such as “slut” to refer to a woman or “pussy” to refer to a man)” (Committee on the Impacts of Sexual Harassment in Academia et al., 2018, p. 25; Fitzgerald et al., 1995, p. 430). It is </w:t>
      </w:r>
      <w:r w:rsidR="00146482" w:rsidRPr="003D5B4E">
        <w:rPr>
          <w:rFonts w:ascii="Times New Roman" w:hAnsi="Times New Roman" w:cs="Times New Roman"/>
          <w:sz w:val="24"/>
          <w:szCs w:val="24"/>
        </w:rPr>
        <w:t xml:space="preserve">clearly sexual and obviously hostile such as referring to derogatory terms for female body parts, explicit images, and inappropriate comments about female sexuality or sexual activity. </w:t>
      </w:r>
      <w:r w:rsidR="00EE49E2" w:rsidRPr="003D5B4E">
        <w:rPr>
          <w:rFonts w:ascii="Times New Roman" w:hAnsi="Times New Roman" w:cs="Times New Roman"/>
          <w:sz w:val="24"/>
          <w:szCs w:val="24"/>
        </w:rPr>
        <w:t xml:space="preserve">In essence, sexual coercion and unwanted sexual attention </w:t>
      </w:r>
      <w:r w:rsidR="004472FD" w:rsidRPr="003D5B4E">
        <w:rPr>
          <w:rFonts w:ascii="Times New Roman" w:hAnsi="Times New Roman" w:cs="Times New Roman"/>
          <w:sz w:val="24"/>
          <w:szCs w:val="24"/>
        </w:rPr>
        <w:t>represent</w:t>
      </w:r>
      <w:r w:rsidR="00EE49E2" w:rsidRPr="003D5B4E">
        <w:rPr>
          <w:rFonts w:ascii="Times New Roman" w:hAnsi="Times New Roman" w:cs="Times New Roman"/>
          <w:sz w:val="24"/>
          <w:szCs w:val="24"/>
        </w:rPr>
        <w:t xml:space="preserve"> “come-ons” while gender harassment is a “put-down”</w:t>
      </w:r>
      <w:r w:rsidR="00E63724" w:rsidRPr="003D5B4E">
        <w:rPr>
          <w:rFonts w:ascii="Times New Roman" w:hAnsi="Times New Roman" w:cs="Times New Roman"/>
          <w:color w:val="000000"/>
          <w:sz w:val="24"/>
          <w:szCs w:val="24"/>
        </w:rPr>
        <w:t xml:space="preserve"> </w:t>
      </w:r>
      <w:r w:rsidR="00E63724" w:rsidRPr="003D5B4E">
        <w:rPr>
          <w:rFonts w:ascii="Times New Roman" w:hAnsi="Times New Roman" w:cs="Times New Roman"/>
          <w:sz w:val="24"/>
          <w:szCs w:val="24"/>
        </w:rPr>
        <w:t>(Leskinen et al., 2011; Lim &amp; Cortina, 2005)</w:t>
      </w:r>
      <w:r w:rsidR="00EE49E2" w:rsidRPr="003D5B4E">
        <w:rPr>
          <w:rFonts w:ascii="Times New Roman" w:hAnsi="Times New Roman" w:cs="Times New Roman"/>
          <w:sz w:val="24"/>
          <w:szCs w:val="24"/>
        </w:rPr>
        <w:t xml:space="preserve">. </w:t>
      </w:r>
      <w:r w:rsidR="004472FD" w:rsidRPr="003D5B4E">
        <w:rPr>
          <w:rFonts w:ascii="Times New Roman" w:hAnsi="Times New Roman" w:cs="Times New Roman"/>
          <w:sz w:val="24"/>
          <w:szCs w:val="24"/>
        </w:rPr>
        <w:t xml:space="preserve">As the legislation mainly </w:t>
      </w:r>
      <w:r w:rsidR="004472FD" w:rsidRPr="003D5B4E">
        <w:rPr>
          <w:rFonts w:ascii="Times New Roman" w:hAnsi="Times New Roman" w:cs="Times New Roman"/>
          <w:sz w:val="24"/>
          <w:szCs w:val="24"/>
        </w:rPr>
        <w:lastRenderedPageBreak/>
        <w:t xml:space="preserve">addresses sexual coercion and unwanted sexual attention, this is the followed approach in this paper. </w:t>
      </w:r>
    </w:p>
    <w:p w14:paraId="6A84E3A1" w14:textId="7E6D8AE1" w:rsidR="00B24A67" w:rsidRPr="003D5B4E" w:rsidRDefault="00F677E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In explaining the causes of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research has explored situational and personal antecedents. Situational antecedents, focusing on environmental characteristics, highlight the role of organizational climate, including formal or informal policies and the gendered nature of jobs (O’Leary-Kelly et al., 2009). Organizational tolerance for sexually harassing behaviors emerges as a strong predictor, underlining the potential for organizations to prevent harassment (Willness et al., 2007). Notably, male-dominated contexts increase the likelihood of harassment, with a critical role attributed to the organizational context, including uncivil behavior and the justice climate (</w:t>
      </w:r>
      <w:r w:rsidR="00664DC4" w:rsidRPr="003D5B4E">
        <w:rPr>
          <w:rFonts w:ascii="Times New Roman" w:hAnsi="Times New Roman" w:cs="Times New Roman"/>
          <w:sz w:val="24"/>
          <w:szCs w:val="24"/>
        </w:rPr>
        <w:t xml:space="preserve">Rubino et al., 2018; </w:t>
      </w:r>
      <w:r w:rsidRPr="003D5B4E">
        <w:rPr>
          <w:rFonts w:ascii="Times New Roman" w:hAnsi="Times New Roman" w:cs="Times New Roman"/>
          <w:sz w:val="24"/>
          <w:szCs w:val="24"/>
        </w:rPr>
        <w:t>Kabat-Farr &amp; Cortina, 2014; Lim &amp; Cortina, 2005).</w:t>
      </w:r>
      <w:r w:rsidR="00A964A5" w:rsidRPr="003D5B4E">
        <w:rPr>
          <w:rFonts w:ascii="Times New Roman" w:hAnsi="Times New Roman" w:cs="Times New Roman"/>
          <w:sz w:val="24"/>
          <w:szCs w:val="24"/>
        </w:rPr>
        <w:t xml:space="preserve"> Strict management norms and a climate intolerant of offensive behavior have been shown to inhibit harassment even among those predisposed to it (</w:t>
      </w:r>
      <w:r w:rsidR="00664DC4" w:rsidRPr="003D5B4E">
        <w:rPr>
          <w:rFonts w:ascii="Times New Roman" w:hAnsi="Times New Roman" w:cs="Times New Roman"/>
          <w:sz w:val="24"/>
          <w:szCs w:val="24"/>
        </w:rPr>
        <w:t xml:space="preserve">Willness et al., 2007; </w:t>
      </w:r>
      <w:r w:rsidR="00A964A5" w:rsidRPr="003D5B4E">
        <w:rPr>
          <w:rFonts w:ascii="Times New Roman" w:hAnsi="Times New Roman" w:cs="Times New Roman"/>
          <w:sz w:val="24"/>
          <w:szCs w:val="24"/>
        </w:rPr>
        <w:t xml:space="preserve">Fitzgerald et al., 1997; Pryor et al., 1993). Considering victim characteristics, studies suggest that women who deviate from gender norms, either through personality traits or occupying traditionally masculine roles, are more susceptible to harassment (Berdahl, 2007). Ethnic minority women are also more likely targets (Berdahl &amp; Moore, 2006). Examining perpetrator characteristics to a lesser extent, early research focused on the personality profiles of potential harassers, highlighting their likelihood to sexually harass (O’Leary-Kelly et al., 2009). However, attempts to create a typical harasser profile based on sociodemographic factors have proven limited, as harassers cut across social strata (Pina, </w:t>
      </w:r>
      <w:r w:rsidR="00B81F0F" w:rsidRPr="003D5B4E">
        <w:rPr>
          <w:rFonts w:ascii="Times New Roman" w:hAnsi="Times New Roman" w:cs="Times New Roman"/>
          <w:sz w:val="24"/>
          <w:szCs w:val="24"/>
        </w:rPr>
        <w:t>et al.</w:t>
      </w:r>
      <w:r w:rsidR="00A964A5" w:rsidRPr="003D5B4E">
        <w:rPr>
          <w:rFonts w:ascii="Times New Roman" w:hAnsi="Times New Roman" w:cs="Times New Roman"/>
          <w:sz w:val="24"/>
          <w:szCs w:val="24"/>
        </w:rPr>
        <w:t>, 2009). Power differentials play a crucial role, with unequal power facilitating harassment (Harned</w:t>
      </w:r>
      <w:r w:rsidR="00B81F0F" w:rsidRPr="003D5B4E">
        <w:rPr>
          <w:rFonts w:ascii="Times New Roman" w:hAnsi="Times New Roman" w:cs="Times New Roman"/>
          <w:sz w:val="24"/>
          <w:szCs w:val="24"/>
        </w:rPr>
        <w:t xml:space="preserve"> &amp; Fitzgerald</w:t>
      </w:r>
      <w:r w:rsidR="00A964A5" w:rsidRPr="003D5B4E">
        <w:rPr>
          <w:rFonts w:ascii="Times New Roman" w:hAnsi="Times New Roman" w:cs="Times New Roman"/>
          <w:sz w:val="24"/>
          <w:szCs w:val="24"/>
        </w:rPr>
        <w:t>, 2002). Organizational pressures, such as expectations for service, create unique power dynamics, leading to increased harassment from external perpetrators like clients or customers (Kundro et al., 2020). Moreover, exposure to gender identity or status threats at work amplifies the likelihood of harassment (</w:t>
      </w:r>
      <w:r w:rsidR="00741C37" w:rsidRPr="003D5B4E">
        <w:rPr>
          <w:rFonts w:ascii="Times New Roman" w:hAnsi="Times New Roman" w:cs="Times New Roman"/>
          <w:sz w:val="24"/>
          <w:szCs w:val="24"/>
        </w:rPr>
        <w:t xml:space="preserve">Halper &amp; Rios, 2019; </w:t>
      </w:r>
      <w:r w:rsidR="00A964A5" w:rsidRPr="003D5B4E">
        <w:rPr>
          <w:rFonts w:ascii="Times New Roman" w:hAnsi="Times New Roman" w:cs="Times New Roman"/>
          <w:sz w:val="24"/>
          <w:szCs w:val="24"/>
        </w:rPr>
        <w:t>Maass et al., 2003).</w:t>
      </w:r>
    </w:p>
    <w:p w14:paraId="49C2AA57" w14:textId="423DB4A0" w:rsidR="00D0515F" w:rsidRPr="003D5B4E" w:rsidRDefault="00D0515F"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 xml:space="preserve">Formal complaints regarding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often represent only a fraction of the actual incidents, with estimates suggesting that only 5-30% of targets file formal complaints, and fewer than 1% participate in legal proceedings (Fitzgerald et al., 1995). Fear of job loss, retaliation, reluctance to be perceived as a victim, and a belief that the harasser won’t face consequences are factors that inhibit reporting (Fielden et al., 2010; Hayes, 2004). Victims use informal methods to address the issue, and studies indicate that reporting not always improve the outcomes for the target (Lee et al., 2004).</w:t>
      </w:r>
      <w:r w:rsidR="00AD1DD5" w:rsidRPr="003D5B4E">
        <w:rPr>
          <w:rFonts w:ascii="Times New Roman" w:hAnsi="Times New Roman" w:cs="Times New Roman"/>
          <w:sz w:val="24"/>
          <w:szCs w:val="24"/>
        </w:rPr>
        <w:t xml:space="preserve"> The likelihood of reporting depends on various factors, including the severity of harassment. Sexual assault or solicitation tends to increase the reporting rate, and women generally report more frequently than men (Benavides-Espinoza &amp; Cunningham, 2010). </w:t>
      </w:r>
      <w:r w:rsidR="004A391A" w:rsidRPr="003D5B4E">
        <w:rPr>
          <w:rFonts w:ascii="Times New Roman" w:hAnsi="Times New Roman" w:cs="Times New Roman"/>
          <w:sz w:val="24"/>
          <w:szCs w:val="24"/>
        </w:rPr>
        <w:t>In small organizations where the perpetrator holds a position of power, reports are less likely to be made (Knapp et al., 1997). According to Hayes (200</w:t>
      </w:r>
      <w:r w:rsidR="002B1B92" w:rsidRPr="003D5B4E">
        <w:rPr>
          <w:rFonts w:ascii="Times New Roman" w:hAnsi="Times New Roman" w:cs="Times New Roman"/>
          <w:sz w:val="24"/>
          <w:szCs w:val="24"/>
        </w:rPr>
        <w:t>5</w:t>
      </w:r>
      <w:r w:rsidR="004A391A" w:rsidRPr="003D5B4E">
        <w:rPr>
          <w:rFonts w:ascii="Times New Roman" w:hAnsi="Times New Roman" w:cs="Times New Roman"/>
          <w:sz w:val="24"/>
          <w:szCs w:val="24"/>
        </w:rPr>
        <w:t>), proactive leadership is considered essential in transferring the responsibility of identifying unprofessional behavior from the target to the institution itself. The management of grievance procedures within organizations is critical since internal procedures often determine de facto employment rights (</w:t>
      </w:r>
      <w:r w:rsidR="00E94C03" w:rsidRPr="003D5B4E">
        <w:rPr>
          <w:rFonts w:ascii="Times New Roman" w:hAnsi="Times New Roman" w:cs="Times New Roman"/>
          <w:sz w:val="24"/>
          <w:szCs w:val="24"/>
        </w:rPr>
        <w:t>Dobbin &amp; Kelly, 2008</w:t>
      </w:r>
      <w:r w:rsidR="004A391A" w:rsidRPr="003D5B4E">
        <w:rPr>
          <w:rFonts w:ascii="Times New Roman" w:hAnsi="Times New Roman" w:cs="Times New Roman"/>
          <w:sz w:val="24"/>
          <w:szCs w:val="24"/>
        </w:rPr>
        <w:t xml:space="preserve">). However, critics argue that organizational grievance procedures, while common, are designed to protect employers from liability rather than to help victims (Charlesworth, 2002; Thornton, 2002). According to Dobbin and Kelly (2008), </w:t>
      </w:r>
      <w:r w:rsidR="00103072" w:rsidRPr="003D5B4E">
        <w:rPr>
          <w:rFonts w:ascii="Times New Roman" w:hAnsi="Times New Roman" w:cs="Times New Roman"/>
          <w:sz w:val="24"/>
          <w:szCs w:val="24"/>
        </w:rPr>
        <w:t>SH</w:t>
      </w:r>
      <w:r w:rsidR="004A391A" w:rsidRPr="003D5B4E">
        <w:rPr>
          <w:rFonts w:ascii="Times New Roman" w:hAnsi="Times New Roman" w:cs="Times New Roman"/>
          <w:sz w:val="24"/>
          <w:szCs w:val="24"/>
        </w:rPr>
        <w:t xml:space="preserve"> policies are often viewed as bureaucratic defenses against grievances, prioritizing risk management over the needs of victims. However, organizations can still promote change by implementing training, education, incentives, and sanctions to foster a respectful work environment (Parker, 1999). Strategic transformation of corporate cultures is essential as it </w:t>
      </w:r>
      <w:r w:rsidR="002B1B92" w:rsidRPr="003D5B4E">
        <w:rPr>
          <w:rFonts w:ascii="Times New Roman" w:hAnsi="Times New Roman" w:cs="Times New Roman"/>
          <w:sz w:val="24"/>
          <w:szCs w:val="24"/>
        </w:rPr>
        <w:t xml:space="preserve">reduces organizational tolerance for </w:t>
      </w:r>
      <w:r w:rsidR="00103072" w:rsidRPr="003D5B4E">
        <w:rPr>
          <w:rFonts w:ascii="Times New Roman" w:hAnsi="Times New Roman" w:cs="Times New Roman"/>
          <w:sz w:val="24"/>
          <w:szCs w:val="24"/>
        </w:rPr>
        <w:t>SH</w:t>
      </w:r>
      <w:r w:rsidR="002B1B92" w:rsidRPr="003D5B4E">
        <w:rPr>
          <w:rFonts w:ascii="Times New Roman" w:hAnsi="Times New Roman" w:cs="Times New Roman"/>
          <w:sz w:val="24"/>
          <w:szCs w:val="24"/>
        </w:rPr>
        <w:t xml:space="preserve"> (Willness et al., 2007). </w:t>
      </w:r>
      <w:r w:rsidR="004A391A" w:rsidRPr="003D5B4E">
        <w:rPr>
          <w:rFonts w:ascii="Times New Roman" w:hAnsi="Times New Roman" w:cs="Times New Roman"/>
          <w:sz w:val="24"/>
          <w:szCs w:val="24"/>
        </w:rPr>
        <w:t xml:space="preserve"> </w:t>
      </w:r>
    </w:p>
    <w:p w14:paraId="13DF037C" w14:textId="335C93CC" w:rsidR="00146482" w:rsidRPr="003D5B4E" w:rsidRDefault="007C06C3"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Unsurprisingly,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significantly harms victims’ psychological well-being, health, and work outcomes. Extensive research demonstrates the adverse impact of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on coworker relationships, supervisor interactions, life satisfaction, and organizational commitment (Sojo et </w:t>
      </w:r>
      <w:r w:rsidRPr="003D5B4E">
        <w:rPr>
          <w:rFonts w:ascii="Times New Roman" w:hAnsi="Times New Roman" w:cs="Times New Roman"/>
          <w:sz w:val="24"/>
          <w:szCs w:val="24"/>
        </w:rPr>
        <w:lastRenderedPageBreak/>
        <w:t xml:space="preserve">al., 2016; Willness et al., 2007). </w:t>
      </w:r>
      <w:r w:rsidR="00BE49AD" w:rsidRPr="003D5B4E">
        <w:rPr>
          <w:rFonts w:ascii="Times New Roman" w:hAnsi="Times New Roman" w:cs="Times New Roman"/>
          <w:sz w:val="24"/>
          <w:szCs w:val="24"/>
        </w:rPr>
        <w:t>Victims suffer from</w:t>
      </w:r>
      <w:r w:rsidRPr="003D5B4E">
        <w:rPr>
          <w:rFonts w:ascii="Times New Roman" w:hAnsi="Times New Roman" w:cs="Times New Roman"/>
          <w:sz w:val="24"/>
          <w:szCs w:val="24"/>
        </w:rPr>
        <w:t xml:space="preserve"> declines in general mental health (Fitzgerald et al., 1997), depression and anxiety disorders (Ho</w:t>
      </w:r>
      <w:r w:rsidR="008206F3" w:rsidRPr="003D5B4E">
        <w:rPr>
          <w:rFonts w:ascii="Times New Roman" w:hAnsi="Times New Roman" w:cs="Times New Roman"/>
          <w:sz w:val="24"/>
          <w:szCs w:val="24"/>
        </w:rPr>
        <w:t xml:space="preserve"> et al.,</w:t>
      </w:r>
      <w:r w:rsidRPr="003D5B4E">
        <w:rPr>
          <w:rFonts w:ascii="Times New Roman" w:hAnsi="Times New Roman" w:cs="Times New Roman"/>
          <w:sz w:val="24"/>
          <w:szCs w:val="24"/>
        </w:rPr>
        <w:t xml:space="preserve"> 2012; Reed et al., 2005), and symptoms of posttraumatic stress disorder (Ho et al., 2012; Willness et al., 2007). </w:t>
      </w:r>
      <w:r w:rsidR="00BE49AD" w:rsidRPr="003D5B4E">
        <w:rPr>
          <w:rFonts w:ascii="Times New Roman" w:hAnsi="Times New Roman" w:cs="Times New Roman"/>
          <w:sz w:val="24"/>
          <w:szCs w:val="24"/>
        </w:rPr>
        <w:t xml:space="preserve">Not only psychological consequences affect the lives of victims, but also physical consequences. Often, the effects on physical health are indirect, mediated through mental health (Fitzgerald &amp; Cortina, 2017). </w:t>
      </w:r>
      <w:proofErr w:type="spellStart"/>
      <w:r w:rsidR="00BE49AD" w:rsidRPr="003D5B4E">
        <w:rPr>
          <w:rFonts w:ascii="Times New Roman" w:hAnsi="Times New Roman" w:cs="Times New Roman"/>
          <w:sz w:val="24"/>
          <w:szCs w:val="24"/>
        </w:rPr>
        <w:t>Willness</w:t>
      </w:r>
      <w:proofErr w:type="spellEnd"/>
      <w:r w:rsidR="00BE49AD" w:rsidRPr="003D5B4E">
        <w:rPr>
          <w:rFonts w:ascii="Times New Roman" w:hAnsi="Times New Roman" w:cs="Times New Roman"/>
          <w:sz w:val="24"/>
          <w:szCs w:val="24"/>
        </w:rPr>
        <w:t xml:space="preserve"> et al. (2007) found a positive correlation between </w:t>
      </w:r>
      <w:r w:rsidR="00103072" w:rsidRPr="003D5B4E">
        <w:rPr>
          <w:rFonts w:ascii="Times New Roman" w:hAnsi="Times New Roman" w:cs="Times New Roman"/>
          <w:sz w:val="24"/>
          <w:szCs w:val="24"/>
        </w:rPr>
        <w:t>SH</w:t>
      </w:r>
      <w:r w:rsidR="00BE49AD" w:rsidRPr="003D5B4E">
        <w:rPr>
          <w:rFonts w:ascii="Times New Roman" w:hAnsi="Times New Roman" w:cs="Times New Roman"/>
          <w:sz w:val="24"/>
          <w:szCs w:val="24"/>
        </w:rPr>
        <w:t xml:space="preserve"> and withdrawal behaviors at work. </w:t>
      </w:r>
      <w:r w:rsidR="00B65620" w:rsidRPr="003D5B4E">
        <w:rPr>
          <w:rFonts w:ascii="Times New Roman" w:hAnsi="Times New Roman" w:cs="Times New Roman"/>
          <w:sz w:val="24"/>
          <w:szCs w:val="24"/>
        </w:rPr>
        <w:t xml:space="preserve">Job satisfaction consistently declines after incidents of workplace </w:t>
      </w:r>
      <w:r w:rsidR="00103072" w:rsidRPr="003D5B4E">
        <w:rPr>
          <w:rFonts w:ascii="Times New Roman" w:hAnsi="Times New Roman" w:cs="Times New Roman"/>
          <w:sz w:val="24"/>
          <w:szCs w:val="24"/>
        </w:rPr>
        <w:t>SH</w:t>
      </w:r>
      <w:r w:rsidR="00B65620" w:rsidRPr="003D5B4E">
        <w:rPr>
          <w:rFonts w:ascii="Times New Roman" w:hAnsi="Times New Roman" w:cs="Times New Roman"/>
          <w:sz w:val="24"/>
          <w:szCs w:val="24"/>
        </w:rPr>
        <w:t xml:space="preserve"> (e.g., </w:t>
      </w:r>
      <w:r w:rsidR="008206F3" w:rsidRPr="003D5B4E">
        <w:rPr>
          <w:rFonts w:ascii="Times New Roman" w:hAnsi="Times New Roman" w:cs="Times New Roman"/>
          <w:sz w:val="24"/>
          <w:szCs w:val="24"/>
        </w:rPr>
        <w:t>Lonsway et al.</w:t>
      </w:r>
      <w:r w:rsidR="00B65620" w:rsidRPr="003D5B4E">
        <w:rPr>
          <w:rFonts w:ascii="Times New Roman" w:hAnsi="Times New Roman" w:cs="Times New Roman"/>
          <w:sz w:val="24"/>
          <w:szCs w:val="24"/>
        </w:rPr>
        <w:t>, 2013; Willness et al., 2007; Fitzgerald et al., 1997). It results in organizational withdrawal, manifesting as disengagement, absenteeism, tardiness, neglect of assignments</w:t>
      </w:r>
      <w:r w:rsidR="00380D5A" w:rsidRPr="003D5B4E">
        <w:rPr>
          <w:rFonts w:ascii="Times New Roman" w:hAnsi="Times New Roman" w:cs="Times New Roman"/>
          <w:sz w:val="24"/>
          <w:szCs w:val="24"/>
        </w:rPr>
        <w:t>, and contemplation of quitting</w:t>
      </w:r>
      <w:r w:rsidR="00B65620" w:rsidRPr="003D5B4E">
        <w:rPr>
          <w:rFonts w:ascii="Times New Roman" w:hAnsi="Times New Roman" w:cs="Times New Roman"/>
          <w:sz w:val="24"/>
          <w:szCs w:val="24"/>
        </w:rPr>
        <w:t xml:space="preserve"> (e.g., Fitzgerald &amp; Cortina, 2017; </w:t>
      </w:r>
      <w:r w:rsidR="00380D5A" w:rsidRPr="003D5B4E">
        <w:rPr>
          <w:rFonts w:ascii="Times New Roman" w:hAnsi="Times New Roman" w:cs="Times New Roman"/>
          <w:sz w:val="24"/>
          <w:szCs w:val="24"/>
        </w:rPr>
        <w:t>Miner-Rubino &amp; Cortina, 2007</w:t>
      </w:r>
      <w:r w:rsidR="00B65620" w:rsidRPr="003D5B4E">
        <w:rPr>
          <w:rFonts w:ascii="Times New Roman" w:hAnsi="Times New Roman" w:cs="Times New Roman"/>
          <w:sz w:val="24"/>
          <w:szCs w:val="24"/>
        </w:rPr>
        <w:t xml:space="preserve">). </w:t>
      </w:r>
      <w:r w:rsidR="00380D5A" w:rsidRPr="003D5B4E">
        <w:rPr>
          <w:rFonts w:ascii="Times New Roman" w:hAnsi="Times New Roman" w:cs="Times New Roman"/>
          <w:sz w:val="24"/>
          <w:szCs w:val="24"/>
        </w:rPr>
        <w:t>Longitudinal studies, like Sims, et al., (2005), reveal higher exit rates among harassed women from military employment, indicating the effectiveness of this strategy in escaping an abusive environment but at significant social, professional, and financial costs.</w:t>
      </w:r>
      <w:r w:rsidR="00B65620" w:rsidRPr="003D5B4E">
        <w:rPr>
          <w:rFonts w:ascii="Times New Roman" w:hAnsi="Times New Roman" w:cs="Times New Roman"/>
          <w:sz w:val="24"/>
          <w:szCs w:val="24"/>
        </w:rPr>
        <w:t xml:space="preserve"> </w:t>
      </w:r>
      <w:r w:rsidR="00380D5A" w:rsidRPr="003D5B4E">
        <w:rPr>
          <w:rFonts w:ascii="Times New Roman" w:hAnsi="Times New Roman" w:cs="Times New Roman"/>
          <w:sz w:val="24"/>
          <w:szCs w:val="24"/>
        </w:rPr>
        <w:t xml:space="preserve">Moreover, </w:t>
      </w:r>
      <w:r w:rsidR="00103072" w:rsidRPr="003D5B4E">
        <w:rPr>
          <w:rFonts w:ascii="Times New Roman" w:hAnsi="Times New Roman" w:cs="Times New Roman"/>
          <w:sz w:val="24"/>
          <w:szCs w:val="24"/>
        </w:rPr>
        <w:t>SH</w:t>
      </w:r>
      <w:r w:rsidR="00380D5A" w:rsidRPr="003D5B4E">
        <w:rPr>
          <w:rFonts w:ascii="Times New Roman" w:hAnsi="Times New Roman" w:cs="Times New Roman"/>
          <w:sz w:val="24"/>
          <w:szCs w:val="24"/>
        </w:rPr>
        <w:t xml:space="preserve"> adversely affects productivity and performance (Dodson et al., 2023). It correlates with reduced organizational commitment, heightened job stress, and various job-related challenges including impaired team relationships, conflicts, lower financial performance, lowered justice perceptions, cognitive difficulties, and overperformance</w:t>
      </w:r>
      <w:r w:rsidR="00A92068" w:rsidRPr="003D5B4E">
        <w:rPr>
          <w:rFonts w:ascii="Times New Roman" w:hAnsi="Times New Roman" w:cs="Times New Roman"/>
          <w:sz w:val="24"/>
          <w:szCs w:val="24"/>
        </w:rPr>
        <w:t xml:space="preserve"> (e.g., Lim &amp; Cortina, 2005; Magley et al., 2005; Cortina et al., 2002; Schneider et al., 1997). </w:t>
      </w:r>
      <w:r w:rsidR="00BE49AD" w:rsidRPr="003D5B4E">
        <w:rPr>
          <w:rFonts w:ascii="Times New Roman" w:hAnsi="Times New Roman" w:cs="Times New Roman"/>
          <w:sz w:val="24"/>
          <w:szCs w:val="24"/>
        </w:rPr>
        <w:t>Studies exploring harassment experiences of both genders highlight that the repercussions are more substantial for female victims, possibly because harassment is more threatening to women due to its reinforcement of their relatively lower status (Berdahl et al., 1996).</w:t>
      </w:r>
      <w:r w:rsidR="00737159" w:rsidRPr="003D5B4E">
        <w:rPr>
          <w:rFonts w:ascii="Times New Roman" w:hAnsi="Times New Roman" w:cs="Times New Roman"/>
          <w:sz w:val="24"/>
          <w:szCs w:val="24"/>
        </w:rPr>
        <w:t xml:space="preserve"> Bystander stress occurs when observers of </w:t>
      </w:r>
      <w:r w:rsidR="00103072" w:rsidRPr="003D5B4E">
        <w:rPr>
          <w:rFonts w:ascii="Times New Roman" w:hAnsi="Times New Roman" w:cs="Times New Roman"/>
          <w:sz w:val="24"/>
          <w:szCs w:val="24"/>
        </w:rPr>
        <w:t>SH</w:t>
      </w:r>
      <w:r w:rsidR="00737159" w:rsidRPr="003D5B4E">
        <w:rPr>
          <w:rFonts w:ascii="Times New Roman" w:hAnsi="Times New Roman" w:cs="Times New Roman"/>
          <w:sz w:val="24"/>
          <w:szCs w:val="24"/>
        </w:rPr>
        <w:t xml:space="preserve"> incidents experience stress themselves</w:t>
      </w:r>
      <w:r w:rsidR="00987AF9" w:rsidRPr="003D5B4E">
        <w:rPr>
          <w:rFonts w:ascii="Times New Roman" w:hAnsi="Times New Roman" w:cs="Times New Roman"/>
          <w:sz w:val="24"/>
          <w:szCs w:val="24"/>
        </w:rPr>
        <w:t xml:space="preserve"> (Schneider, 1996)</w:t>
      </w:r>
      <w:r w:rsidR="00737159" w:rsidRPr="003D5B4E">
        <w:rPr>
          <w:rFonts w:ascii="Times New Roman" w:hAnsi="Times New Roman" w:cs="Times New Roman"/>
          <w:sz w:val="24"/>
          <w:szCs w:val="24"/>
        </w:rPr>
        <w:t xml:space="preserve">. This can lead to issues in team dynamics, productivity, and a negative impact on team unity followed by decreased economic outcomes </w:t>
      </w:r>
      <w:r w:rsidR="00737159" w:rsidRPr="003D5B4E">
        <w:rPr>
          <w:rFonts w:ascii="Times New Roman" w:hAnsi="Times New Roman" w:cs="Times New Roman"/>
          <w:color w:val="000000" w:themeColor="text1"/>
          <w:sz w:val="24"/>
          <w:szCs w:val="24"/>
        </w:rPr>
        <w:t>(</w:t>
      </w:r>
      <w:r w:rsidR="00737159" w:rsidRPr="003D5B4E">
        <w:rPr>
          <w:rFonts w:ascii="Times New Roman" w:hAnsi="Times New Roman" w:cs="Times New Roman"/>
          <w:sz w:val="24"/>
          <w:szCs w:val="24"/>
        </w:rPr>
        <w:t xml:space="preserve">Miner-Rubino &amp; Cortina, 2007; Raver &amp; Gelfand, 2005). Consequently, </w:t>
      </w:r>
      <w:r w:rsidR="00103072" w:rsidRPr="003D5B4E">
        <w:rPr>
          <w:rFonts w:ascii="Times New Roman" w:hAnsi="Times New Roman" w:cs="Times New Roman"/>
          <w:sz w:val="24"/>
          <w:szCs w:val="24"/>
        </w:rPr>
        <w:t>SH</w:t>
      </w:r>
      <w:r w:rsidR="00737159" w:rsidRPr="003D5B4E">
        <w:rPr>
          <w:rFonts w:ascii="Times New Roman" w:hAnsi="Times New Roman" w:cs="Times New Roman"/>
          <w:sz w:val="24"/>
          <w:szCs w:val="24"/>
        </w:rPr>
        <w:t xml:space="preserve"> is in fact an organizational level challenge rather than a personal issue (Glomb et al., 1997).</w:t>
      </w:r>
    </w:p>
    <w:p w14:paraId="7D3C1E62" w14:textId="4BEB960C" w:rsidR="00A92068" w:rsidRDefault="00A92068"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 xml:space="preserve">Alongside the detrimental consequences for the victims,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also experience significant consequences.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can tarnish an organization’s reputation, damage its organizational performance, and erode trust among stakeholders, as well as the public (e.g., Au et al., 2023; Bednar et al., 2022; Bouzinne &amp; Lueg, 2022).</w:t>
      </w:r>
      <w:r w:rsidR="0028452C" w:rsidRPr="003D5B4E">
        <w:rPr>
          <w:rFonts w:ascii="Times New Roman" w:hAnsi="Times New Roman" w:cs="Times New Roman"/>
          <w:sz w:val="24"/>
          <w:szCs w:val="24"/>
        </w:rPr>
        <w:t xml:space="preserve"> </w:t>
      </w:r>
      <w:r w:rsidR="0041236F">
        <w:rPr>
          <w:rFonts w:ascii="Times New Roman" w:hAnsi="Times New Roman" w:cs="Times New Roman"/>
          <w:sz w:val="24"/>
          <w:szCs w:val="24"/>
        </w:rPr>
        <w:t>Organization</w:t>
      </w:r>
      <w:r w:rsidR="0028452C" w:rsidRPr="003D5B4E">
        <w:rPr>
          <w:rFonts w:ascii="Times New Roman" w:hAnsi="Times New Roman" w:cs="Times New Roman"/>
          <w:sz w:val="24"/>
          <w:szCs w:val="24"/>
        </w:rPr>
        <w:t xml:space="preserve">s may experience challenges in attracting and retaining top talent and may face difficulties in securing investments or partnerships (Billings et al., 2022). Au et al. (2023) reveal long-term negative financial implications following incidents </w:t>
      </w:r>
      <w:r w:rsidR="006A1AA1" w:rsidRPr="003D5B4E">
        <w:rPr>
          <w:rFonts w:ascii="Times New Roman" w:hAnsi="Times New Roman" w:cs="Times New Roman"/>
          <w:sz w:val="24"/>
          <w:szCs w:val="24"/>
        </w:rPr>
        <w:t>that</w:t>
      </w:r>
      <w:r w:rsidR="0028452C" w:rsidRPr="003D5B4E">
        <w:rPr>
          <w:rFonts w:ascii="Times New Roman" w:hAnsi="Times New Roman" w:cs="Times New Roman"/>
          <w:sz w:val="24"/>
          <w:szCs w:val="24"/>
        </w:rPr>
        <w:t xml:space="preserve"> go along with legal costs, including settlements and legal fees, as well as potential regulatory fines (Dodson et al., 2023). </w:t>
      </w:r>
    </w:p>
    <w:p w14:paraId="574F51FA" w14:textId="37601CC2" w:rsidR="00B6106C" w:rsidRPr="003D5B4E" w:rsidRDefault="00B6106C" w:rsidP="0041236F">
      <w:pPr>
        <w:spacing w:line="480" w:lineRule="auto"/>
        <w:jc w:val="both"/>
        <w:rPr>
          <w:rFonts w:ascii="Times New Roman" w:hAnsi="Times New Roman" w:cs="Times New Roman"/>
          <w:i/>
          <w:iCs/>
          <w:sz w:val="24"/>
          <w:szCs w:val="24"/>
        </w:rPr>
      </w:pPr>
      <w:r w:rsidRPr="003D5B4E">
        <w:rPr>
          <w:rFonts w:ascii="Times New Roman" w:hAnsi="Times New Roman" w:cs="Times New Roman"/>
          <w:i/>
          <w:iCs/>
          <w:sz w:val="24"/>
          <w:szCs w:val="24"/>
        </w:rPr>
        <w:t xml:space="preserve">The EU legislative landscape </w:t>
      </w:r>
    </w:p>
    <w:p w14:paraId="64BADFF7" w14:textId="3AEFE6B1" w:rsidR="00481301" w:rsidRPr="003D5B4E" w:rsidRDefault="002653EE"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Treaty of the Functioning of the European Union (TFEU) emphasizes gender equality and non-discrimination and promotes equal treatment of men and women (Art. 8, 10, 19, and 157 TFEU). Based on these principles, the EU pursues a multidimensional approach through a legal and policy framework to uphold human rights and achieve gender equality. </w:t>
      </w:r>
      <w:r w:rsidR="00FC0A3C" w:rsidRPr="003D5B4E">
        <w:rPr>
          <w:rFonts w:ascii="Times New Roman" w:hAnsi="Times New Roman" w:cs="Times New Roman"/>
          <w:sz w:val="24"/>
          <w:szCs w:val="24"/>
        </w:rPr>
        <w:t xml:space="preserve">The recast Directive 2006/54/EC covers all aspects, from objectives and definitions to equality in all matters of </w:t>
      </w:r>
      <w:r w:rsidR="004146A4" w:rsidRPr="003D5B4E">
        <w:rPr>
          <w:rFonts w:ascii="Times New Roman" w:hAnsi="Times New Roman" w:cs="Times New Roman"/>
          <w:sz w:val="24"/>
          <w:szCs w:val="24"/>
        </w:rPr>
        <w:t>employment</w:t>
      </w:r>
      <w:r w:rsidR="004146A4">
        <w:rPr>
          <w:rFonts w:ascii="Times New Roman" w:hAnsi="Times New Roman" w:cs="Times New Roman"/>
          <w:sz w:val="24"/>
          <w:szCs w:val="24"/>
        </w:rPr>
        <w:t xml:space="preserve"> and</w:t>
      </w:r>
      <w:r w:rsidR="00FC0A3C" w:rsidRPr="003D5B4E">
        <w:rPr>
          <w:rFonts w:ascii="Times New Roman" w:hAnsi="Times New Roman" w:cs="Times New Roman"/>
          <w:sz w:val="24"/>
          <w:szCs w:val="24"/>
        </w:rPr>
        <w:t xml:space="preserve"> consolidates legal measures and strategies to address and remedy issues of discrimination. Furthermore, Directive 2006/54/EC expanded</w:t>
      </w:r>
      <w:r w:rsidR="004146A4">
        <w:rPr>
          <w:rFonts w:ascii="Times New Roman" w:hAnsi="Times New Roman" w:cs="Times New Roman"/>
          <w:sz w:val="24"/>
          <w:szCs w:val="24"/>
        </w:rPr>
        <w:t xml:space="preserve"> </w:t>
      </w:r>
      <w:r w:rsidR="00FC0A3C" w:rsidRPr="003D5B4E">
        <w:rPr>
          <w:rFonts w:ascii="Times New Roman" w:hAnsi="Times New Roman" w:cs="Times New Roman"/>
          <w:sz w:val="24"/>
          <w:szCs w:val="24"/>
        </w:rPr>
        <w:t>by broadening its scope, clarifying definitions and obligations, and strengthening enforcement mechanisms to promote and ensure gender equality in the workplace (Numhauser-Henning &amp; Laulom, 2012). EU member states are required to transpose the directive into national law (Burri &amp; Prechal, 2009).</w:t>
      </w:r>
      <w:r w:rsidR="009841EE" w:rsidRPr="003D5B4E">
        <w:rPr>
          <w:rFonts w:ascii="Times New Roman" w:hAnsi="Times New Roman" w:cs="Times New Roman"/>
          <w:sz w:val="24"/>
          <w:szCs w:val="24"/>
        </w:rPr>
        <w:t xml:space="preserve"> The European Parliament's resolution on the issue of </w:t>
      </w:r>
      <w:r w:rsidR="00103072" w:rsidRPr="003D5B4E">
        <w:rPr>
          <w:rFonts w:ascii="Times New Roman" w:hAnsi="Times New Roman" w:cs="Times New Roman"/>
          <w:sz w:val="24"/>
          <w:szCs w:val="24"/>
        </w:rPr>
        <w:t>SH</w:t>
      </w:r>
      <w:r w:rsidR="009841EE" w:rsidRPr="003D5B4E">
        <w:rPr>
          <w:rFonts w:ascii="Times New Roman" w:hAnsi="Times New Roman" w:cs="Times New Roman"/>
          <w:sz w:val="24"/>
          <w:szCs w:val="24"/>
        </w:rPr>
        <w:t xml:space="preserve"> and abuse in the EU recognizes and builds upon the established EU legal framework for the protection and support of victims of crime set out in Directive 2012/29/EU. </w:t>
      </w:r>
      <w:r w:rsidR="007F371A" w:rsidRPr="003D5B4E">
        <w:rPr>
          <w:rFonts w:ascii="Times New Roman" w:hAnsi="Times New Roman" w:cs="Times New Roman"/>
          <w:sz w:val="24"/>
          <w:szCs w:val="24"/>
        </w:rPr>
        <w:t xml:space="preserve">In an organizational context, the EC has adopted the Directive (EU) 2019/1937 on the protection of individuals reporting violations of Union law and a communication that outlines a comprehensive legal framework for whistleblower protection at the European level. The framework establishes easily accessible reporting </w:t>
      </w:r>
      <w:r w:rsidR="007F371A" w:rsidRPr="003D5B4E">
        <w:rPr>
          <w:rFonts w:ascii="Times New Roman" w:hAnsi="Times New Roman" w:cs="Times New Roman"/>
          <w:sz w:val="24"/>
          <w:szCs w:val="24"/>
        </w:rPr>
        <w:lastRenderedPageBreak/>
        <w:t xml:space="preserve">channels, emphasizes the obligation of confidentiality, prohibits retaliation against whistleblowers, and introduces specific protective measures. </w:t>
      </w:r>
    </w:p>
    <w:p w14:paraId="135980F6" w14:textId="34EEDB75" w:rsidR="00BA180F" w:rsidRPr="003D5B4E" w:rsidRDefault="00CC1050" w:rsidP="0041236F">
      <w:pPr>
        <w:spacing w:line="480" w:lineRule="auto"/>
        <w:jc w:val="both"/>
        <w:rPr>
          <w:rFonts w:ascii="Times New Roman" w:hAnsi="Times New Roman" w:cs="Times New Roman"/>
          <w:i/>
          <w:iCs/>
          <w:sz w:val="24"/>
          <w:szCs w:val="24"/>
        </w:rPr>
      </w:pPr>
      <w:r w:rsidRPr="003D5B4E">
        <w:rPr>
          <w:rFonts w:ascii="Times New Roman" w:hAnsi="Times New Roman" w:cs="Times New Roman"/>
          <w:i/>
          <w:iCs/>
          <w:sz w:val="24"/>
          <w:szCs w:val="24"/>
        </w:rPr>
        <w:t>Sustainability</w:t>
      </w:r>
      <w:r w:rsidR="00BA180F" w:rsidRPr="003D5B4E">
        <w:rPr>
          <w:rFonts w:ascii="Times New Roman" w:hAnsi="Times New Roman" w:cs="Times New Roman"/>
          <w:i/>
          <w:iCs/>
          <w:sz w:val="24"/>
          <w:szCs w:val="24"/>
        </w:rPr>
        <w:t xml:space="preserve"> </w:t>
      </w:r>
      <w:r w:rsidR="00003B28" w:rsidRPr="003D5B4E">
        <w:rPr>
          <w:rFonts w:ascii="Times New Roman" w:hAnsi="Times New Roman" w:cs="Times New Roman"/>
          <w:i/>
          <w:iCs/>
          <w:sz w:val="24"/>
          <w:szCs w:val="24"/>
        </w:rPr>
        <w:t>Reporting</w:t>
      </w:r>
    </w:p>
    <w:p w14:paraId="7D6F4DDE" w14:textId="71629FBD" w:rsidR="00633E4E" w:rsidRPr="003D5B4E" w:rsidRDefault="003E081C"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Corporate </w:t>
      </w:r>
      <w:r w:rsidR="00003B28" w:rsidRPr="003D5B4E">
        <w:rPr>
          <w:rFonts w:ascii="Times New Roman" w:hAnsi="Times New Roman" w:cs="Times New Roman"/>
          <w:sz w:val="24"/>
          <w:szCs w:val="24"/>
        </w:rPr>
        <w:t>reporting</w:t>
      </w:r>
      <w:r w:rsidRPr="003D5B4E">
        <w:rPr>
          <w:rFonts w:ascii="Times New Roman" w:hAnsi="Times New Roman" w:cs="Times New Roman"/>
          <w:sz w:val="24"/>
          <w:szCs w:val="24"/>
        </w:rPr>
        <w:t xml:space="preserve">, particularly in the realm of sustainability and integrated reports, has become a well-established business practice (Mervelskemper &amp; Streit, 2017; </w:t>
      </w:r>
      <w:r w:rsidR="00633E4E" w:rsidRPr="003D5B4E">
        <w:rPr>
          <w:rFonts w:ascii="Times New Roman" w:hAnsi="Times New Roman" w:cs="Times New Roman"/>
          <w:sz w:val="24"/>
          <w:szCs w:val="24"/>
        </w:rPr>
        <w:t>Stacchezzini et al.,</w:t>
      </w:r>
      <w:r w:rsidRPr="003D5B4E">
        <w:rPr>
          <w:rFonts w:ascii="Times New Roman" w:hAnsi="Times New Roman" w:cs="Times New Roman"/>
          <w:sz w:val="24"/>
          <w:szCs w:val="24"/>
        </w:rPr>
        <w:t xml:space="preserve"> 2016). </w:t>
      </w:r>
      <w:r w:rsidR="000648AE" w:rsidRPr="003D5B4E">
        <w:rPr>
          <w:rFonts w:ascii="Times New Roman" w:hAnsi="Times New Roman" w:cs="Times New Roman"/>
          <w:sz w:val="24"/>
          <w:szCs w:val="24"/>
        </w:rPr>
        <w:t xml:space="preserve">Enhancing regulatory mandates for companies to disclose information based on </w:t>
      </w:r>
      <w:r w:rsidR="00C253ED" w:rsidRPr="003D5B4E">
        <w:rPr>
          <w:rFonts w:ascii="Times New Roman" w:hAnsi="Times New Roman" w:cs="Times New Roman"/>
          <w:sz w:val="24"/>
          <w:szCs w:val="24"/>
        </w:rPr>
        <w:t>Environmental, Social, and Governmental (</w:t>
      </w:r>
      <w:r w:rsidR="000648AE" w:rsidRPr="003D5B4E">
        <w:rPr>
          <w:rFonts w:ascii="Times New Roman" w:hAnsi="Times New Roman" w:cs="Times New Roman"/>
          <w:sz w:val="24"/>
          <w:szCs w:val="24"/>
        </w:rPr>
        <w:t>ESG</w:t>
      </w:r>
      <w:r w:rsidR="00C253ED" w:rsidRPr="003D5B4E">
        <w:rPr>
          <w:rFonts w:ascii="Times New Roman" w:hAnsi="Times New Roman" w:cs="Times New Roman"/>
          <w:sz w:val="24"/>
          <w:szCs w:val="24"/>
        </w:rPr>
        <w:t>)</w:t>
      </w:r>
      <w:r w:rsidR="000648AE" w:rsidRPr="003D5B4E">
        <w:rPr>
          <w:rFonts w:ascii="Times New Roman" w:hAnsi="Times New Roman" w:cs="Times New Roman"/>
          <w:sz w:val="24"/>
          <w:szCs w:val="24"/>
        </w:rPr>
        <w:t xml:space="preserve"> criteria is a pivotal instrument for advancing the SDGs</w:t>
      </w:r>
      <w:r w:rsidR="001E04EC" w:rsidRPr="003D5B4E">
        <w:rPr>
          <w:rFonts w:ascii="Times New Roman" w:hAnsi="Times New Roman" w:cs="Times New Roman"/>
          <w:sz w:val="24"/>
          <w:szCs w:val="24"/>
        </w:rPr>
        <w:t xml:space="preserve"> (Plastun et al., 2020)</w:t>
      </w:r>
      <w:r w:rsidR="000648AE" w:rsidRPr="003D5B4E">
        <w:rPr>
          <w:rFonts w:ascii="Times New Roman" w:hAnsi="Times New Roman" w:cs="Times New Roman"/>
          <w:sz w:val="24"/>
          <w:szCs w:val="24"/>
        </w:rPr>
        <w:t>. The transparency of the business environment and the reporting of Corporate Social Responsibility (CSR) integration into company operations are crucial elements for effectively monitoring progress toward SDGs within the corporate sector.</w:t>
      </w:r>
      <w:r w:rsidR="00DB04A2" w:rsidRPr="003D5B4E">
        <w:rPr>
          <w:rFonts w:ascii="Times New Roman" w:hAnsi="Times New Roman" w:cs="Times New Roman"/>
          <w:sz w:val="24"/>
          <w:szCs w:val="24"/>
        </w:rPr>
        <w:t xml:space="preserve"> Phan et al. (2020) reveal a positive correlation between disclosing non-financial information aligned with SDGs. Larger companies and those with higher risk profiles have made progress in improving their ESG disclosure. Ho and Park (2019) advocate for combining the strengths of public and private forms of disclosure regulation to optimize the quality and utility of </w:t>
      </w:r>
      <w:r w:rsidR="00633E4E" w:rsidRPr="003D5B4E">
        <w:rPr>
          <w:rFonts w:ascii="Times New Roman" w:hAnsi="Times New Roman" w:cs="Times New Roman"/>
          <w:sz w:val="24"/>
          <w:szCs w:val="24"/>
        </w:rPr>
        <w:t>ESG-related</w:t>
      </w:r>
      <w:r w:rsidR="00DB04A2" w:rsidRPr="003D5B4E">
        <w:rPr>
          <w:rFonts w:ascii="Times New Roman" w:hAnsi="Times New Roman" w:cs="Times New Roman"/>
          <w:sz w:val="24"/>
          <w:szCs w:val="24"/>
        </w:rPr>
        <w:t xml:space="preserve"> information. In the EU, SDGs are highlighted in the Communication from the Commission Guidelines on Non-Financial Reporting (2017/C215/01) as important methodologies for sustainability reports (Plastun et al., 2020).  Adams (2020) underscores the significance of endorsing SDG disclosure recommendations supported by reputable accounting organizations</w:t>
      </w:r>
      <w:r w:rsidR="006A1AA1" w:rsidRPr="003D5B4E">
        <w:rPr>
          <w:rFonts w:ascii="Times New Roman" w:hAnsi="Times New Roman" w:cs="Times New Roman"/>
          <w:sz w:val="24"/>
          <w:szCs w:val="24"/>
        </w:rPr>
        <w:t>.</w:t>
      </w:r>
    </w:p>
    <w:p w14:paraId="72D128BD" w14:textId="6F986E0D" w:rsidR="00E53C39" w:rsidRPr="003D5B4E" w:rsidRDefault="00003B28"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disclosure </w:t>
      </w:r>
      <w:r w:rsidR="002D41CC" w:rsidRPr="003D5B4E">
        <w:rPr>
          <w:rFonts w:ascii="Times New Roman" w:hAnsi="Times New Roman" w:cs="Times New Roman"/>
          <w:sz w:val="24"/>
          <w:szCs w:val="24"/>
        </w:rPr>
        <w:t xml:space="preserve">of </w:t>
      </w:r>
      <w:r w:rsidR="00C253ED" w:rsidRPr="003D5B4E">
        <w:rPr>
          <w:rFonts w:ascii="Times New Roman" w:hAnsi="Times New Roman" w:cs="Times New Roman"/>
          <w:sz w:val="24"/>
          <w:szCs w:val="24"/>
        </w:rPr>
        <w:t>ESG</w:t>
      </w:r>
      <w:r w:rsidRPr="003D5B4E">
        <w:rPr>
          <w:rFonts w:ascii="Times New Roman" w:hAnsi="Times New Roman" w:cs="Times New Roman"/>
          <w:sz w:val="24"/>
          <w:szCs w:val="24"/>
        </w:rPr>
        <w:t xml:space="preserve"> factors has predominantly been a voluntary practice, driven by stakeholder expectations and a quest for legitimacy (Cho et al., 2012; Deegan, 2002).</w:t>
      </w:r>
      <w:r w:rsidR="00C253ED" w:rsidRPr="003D5B4E">
        <w:rPr>
          <w:rFonts w:ascii="Times New Roman" w:hAnsi="Times New Roman" w:cs="Times New Roman"/>
          <w:sz w:val="24"/>
          <w:szCs w:val="24"/>
        </w:rPr>
        <w:t xml:space="preserve"> </w:t>
      </w:r>
      <w:r w:rsidR="00666771" w:rsidRPr="003D5B4E">
        <w:rPr>
          <w:rFonts w:ascii="Times New Roman" w:hAnsi="Times New Roman" w:cs="Times New Roman"/>
          <w:sz w:val="24"/>
          <w:szCs w:val="24"/>
        </w:rPr>
        <w:t xml:space="preserve">Scholars contend that businesses, in response to stakeholder expectations, willingly produce reports to maintain their license to operate (Maltby, 1997). They argue that transparent reporting on sustainability risks helps manage these risks more effectively, leading to improved financial </w:t>
      </w:r>
      <w:r w:rsidR="00666771" w:rsidRPr="003D5B4E">
        <w:rPr>
          <w:rFonts w:ascii="Times New Roman" w:hAnsi="Times New Roman" w:cs="Times New Roman"/>
          <w:sz w:val="24"/>
          <w:szCs w:val="24"/>
        </w:rPr>
        <w:lastRenderedPageBreak/>
        <w:t>performance (Doane, 2002). However, voluntary reporting faces criticism for its ad-hoc nature, the risk of being a public relations exercise, difficulty in inter-company comparison, a lack of enforcement</w:t>
      </w:r>
      <w:r w:rsidR="00EC3533" w:rsidRPr="003D5B4E">
        <w:rPr>
          <w:rFonts w:ascii="Times New Roman" w:hAnsi="Times New Roman" w:cs="Times New Roman"/>
          <w:sz w:val="24"/>
          <w:szCs w:val="24"/>
        </w:rPr>
        <w:t xml:space="preserve">, </w:t>
      </w:r>
      <w:r w:rsidR="00666771" w:rsidRPr="003D5B4E">
        <w:rPr>
          <w:rFonts w:ascii="Times New Roman" w:hAnsi="Times New Roman" w:cs="Times New Roman"/>
          <w:sz w:val="24"/>
          <w:szCs w:val="24"/>
        </w:rPr>
        <w:t>accountability</w:t>
      </w:r>
      <w:r w:rsidR="00EC3533" w:rsidRPr="003D5B4E">
        <w:rPr>
          <w:rFonts w:ascii="Times New Roman" w:hAnsi="Times New Roman" w:cs="Times New Roman"/>
          <w:sz w:val="24"/>
          <w:szCs w:val="24"/>
        </w:rPr>
        <w:t>, and independent verification</w:t>
      </w:r>
      <w:r w:rsidR="00666771" w:rsidRPr="003D5B4E">
        <w:rPr>
          <w:rFonts w:ascii="Times New Roman" w:hAnsi="Times New Roman" w:cs="Times New Roman"/>
          <w:sz w:val="24"/>
          <w:szCs w:val="24"/>
        </w:rPr>
        <w:t xml:space="preserve"> (</w:t>
      </w:r>
      <w:r w:rsidR="00EC3533" w:rsidRPr="003D5B4E">
        <w:rPr>
          <w:rFonts w:ascii="Times New Roman" w:hAnsi="Times New Roman" w:cs="Times New Roman"/>
          <w:sz w:val="24"/>
          <w:szCs w:val="24"/>
        </w:rPr>
        <w:t xml:space="preserve">Buhr et al., 2014; Thirarungrueang, 2013; </w:t>
      </w:r>
      <w:r w:rsidR="00666771" w:rsidRPr="003D5B4E">
        <w:rPr>
          <w:rFonts w:ascii="Times New Roman" w:hAnsi="Times New Roman" w:cs="Times New Roman"/>
          <w:sz w:val="24"/>
          <w:szCs w:val="24"/>
        </w:rPr>
        <w:t>Overland, 2007).</w:t>
      </w:r>
      <w:r w:rsidR="00EC3533" w:rsidRPr="003D5B4E">
        <w:rPr>
          <w:rFonts w:ascii="Times New Roman" w:hAnsi="Times New Roman" w:cs="Times New Roman"/>
          <w:sz w:val="24"/>
          <w:szCs w:val="24"/>
        </w:rPr>
        <w:t xml:space="preserve"> Recognizing the inefficacy of voluntary reporting, many countries have started to enforce mandatory reporting, exemplified by the NFRD, amending previous directives (Directive 2014/95/EU). The EU's objective is to enhance companies' accountability, transparency, and stakeholders' trust, ultimately facilitating companies' access to resources (Campra </w:t>
      </w:r>
      <w:r w:rsidR="00323B82" w:rsidRPr="003D5B4E">
        <w:rPr>
          <w:rFonts w:ascii="Times New Roman" w:hAnsi="Times New Roman" w:cs="Times New Roman"/>
          <w:sz w:val="24"/>
          <w:szCs w:val="24"/>
        </w:rPr>
        <w:t>et al.</w:t>
      </w:r>
      <w:r w:rsidR="00EC3533" w:rsidRPr="003D5B4E">
        <w:rPr>
          <w:rFonts w:ascii="Times New Roman" w:hAnsi="Times New Roman" w:cs="Times New Roman"/>
          <w:sz w:val="24"/>
          <w:szCs w:val="24"/>
        </w:rPr>
        <w:t xml:space="preserve">, 2020; Cohen et al., 2015). However, </w:t>
      </w:r>
      <w:r w:rsidR="00E53C39" w:rsidRPr="003D5B4E">
        <w:rPr>
          <w:rFonts w:ascii="Times New Roman" w:hAnsi="Times New Roman" w:cs="Times New Roman"/>
          <w:sz w:val="24"/>
          <w:szCs w:val="24"/>
        </w:rPr>
        <w:t xml:space="preserve">scholars raised doubts </w:t>
      </w:r>
      <w:r w:rsidR="00EC3533" w:rsidRPr="003D5B4E">
        <w:rPr>
          <w:rFonts w:ascii="Times New Roman" w:hAnsi="Times New Roman" w:cs="Times New Roman"/>
          <w:sz w:val="24"/>
          <w:szCs w:val="24"/>
        </w:rPr>
        <w:t>about the desire for accountability and regulatory reform among stakeholders other than investors, potentially leading to 'window dressing' and inconsistencies between reporting and CSR performance</w:t>
      </w:r>
      <w:r w:rsidR="00E53C39" w:rsidRPr="003D5B4E">
        <w:rPr>
          <w:rFonts w:ascii="Times New Roman" w:hAnsi="Times New Roman" w:cs="Times New Roman"/>
          <w:sz w:val="24"/>
          <w:szCs w:val="24"/>
        </w:rPr>
        <w:t xml:space="preserve"> (Stubbs and Higgins, 2018; Cooper and Owen; 2007)</w:t>
      </w:r>
      <w:r w:rsidR="00EC3533" w:rsidRPr="003D5B4E">
        <w:rPr>
          <w:rFonts w:ascii="Times New Roman" w:hAnsi="Times New Roman" w:cs="Times New Roman"/>
          <w:sz w:val="24"/>
          <w:szCs w:val="24"/>
        </w:rPr>
        <w:t>.</w:t>
      </w:r>
      <w:r w:rsidR="00E53C39" w:rsidRPr="003D5B4E">
        <w:rPr>
          <w:rFonts w:ascii="Times New Roman" w:hAnsi="Times New Roman" w:cs="Times New Roman"/>
          <w:sz w:val="24"/>
          <w:szCs w:val="24"/>
        </w:rPr>
        <w:t xml:space="preserve"> </w:t>
      </w:r>
      <w:r w:rsidR="00666771" w:rsidRPr="003D5B4E">
        <w:rPr>
          <w:rFonts w:ascii="Times New Roman" w:hAnsi="Times New Roman" w:cs="Times New Roman"/>
          <w:sz w:val="24"/>
          <w:szCs w:val="24"/>
        </w:rPr>
        <w:t>Mandatory reporting is seen as a solution to these issues, offering a defined framework, greater comparability, and increased accountability (Overland, 2007). While concerns about the lack of enforcement mechanisms and credible assurance practices exist, studies</w:t>
      </w:r>
      <w:r w:rsidR="00EC3533" w:rsidRPr="003D5B4E">
        <w:rPr>
          <w:rFonts w:ascii="Times New Roman" w:hAnsi="Times New Roman" w:cs="Times New Roman"/>
          <w:sz w:val="24"/>
          <w:szCs w:val="24"/>
        </w:rPr>
        <w:t xml:space="preserve"> in multiple countries</w:t>
      </w:r>
      <w:r w:rsidR="00666771" w:rsidRPr="003D5B4E">
        <w:rPr>
          <w:rFonts w:ascii="Times New Roman" w:hAnsi="Times New Roman" w:cs="Times New Roman"/>
          <w:sz w:val="24"/>
          <w:szCs w:val="24"/>
        </w:rPr>
        <w:t xml:space="preserve"> show that mandatory reporting increased </w:t>
      </w:r>
      <w:r w:rsidR="00EC3533" w:rsidRPr="003D5B4E">
        <w:rPr>
          <w:rFonts w:ascii="Times New Roman" w:hAnsi="Times New Roman" w:cs="Times New Roman"/>
          <w:sz w:val="24"/>
          <w:szCs w:val="24"/>
        </w:rPr>
        <w:t xml:space="preserve">CSR </w:t>
      </w:r>
      <w:r w:rsidR="00666771" w:rsidRPr="003D5B4E">
        <w:rPr>
          <w:rFonts w:ascii="Times New Roman" w:hAnsi="Times New Roman" w:cs="Times New Roman"/>
          <w:sz w:val="24"/>
          <w:szCs w:val="24"/>
        </w:rPr>
        <w:t>disclosures</w:t>
      </w:r>
      <w:r w:rsidR="00EC3533" w:rsidRPr="003D5B4E">
        <w:rPr>
          <w:rFonts w:ascii="Times New Roman" w:hAnsi="Times New Roman" w:cs="Times New Roman"/>
          <w:sz w:val="24"/>
          <w:szCs w:val="24"/>
        </w:rPr>
        <w:t>, and adoption of assurance,</w:t>
      </w:r>
      <w:r w:rsidR="00666771" w:rsidRPr="003D5B4E">
        <w:rPr>
          <w:rFonts w:ascii="Times New Roman" w:hAnsi="Times New Roman" w:cs="Times New Roman"/>
          <w:sz w:val="24"/>
          <w:szCs w:val="24"/>
        </w:rPr>
        <w:t xml:space="preserve"> enhanced their credibility</w:t>
      </w:r>
      <w:r w:rsidR="00EC3533" w:rsidRPr="003D5B4E">
        <w:rPr>
          <w:rFonts w:ascii="Times New Roman" w:hAnsi="Times New Roman" w:cs="Times New Roman"/>
          <w:sz w:val="24"/>
          <w:szCs w:val="24"/>
        </w:rPr>
        <w:t xml:space="preserve"> and reporting guidelines</w:t>
      </w:r>
      <w:r w:rsidR="00666771" w:rsidRPr="003D5B4E">
        <w:rPr>
          <w:rFonts w:ascii="Times New Roman" w:hAnsi="Times New Roman" w:cs="Times New Roman"/>
          <w:sz w:val="24"/>
          <w:szCs w:val="24"/>
        </w:rPr>
        <w:t xml:space="preserve"> (</w:t>
      </w:r>
      <w:r w:rsidR="00323B82" w:rsidRPr="003D5B4E">
        <w:rPr>
          <w:rFonts w:ascii="Times New Roman" w:hAnsi="Times New Roman" w:cs="Times New Roman"/>
          <w:sz w:val="24"/>
          <w:szCs w:val="24"/>
        </w:rPr>
        <w:t>Grewal et al.</w:t>
      </w:r>
      <w:r w:rsidR="00EC3533" w:rsidRPr="003D5B4E">
        <w:rPr>
          <w:rFonts w:ascii="Times New Roman" w:hAnsi="Times New Roman" w:cs="Times New Roman"/>
          <w:sz w:val="24"/>
          <w:szCs w:val="24"/>
        </w:rPr>
        <w:t xml:space="preserve">, 2019; </w:t>
      </w:r>
      <w:r w:rsidR="00666771" w:rsidRPr="003D5B4E">
        <w:rPr>
          <w:rFonts w:ascii="Times New Roman" w:hAnsi="Times New Roman" w:cs="Times New Roman"/>
          <w:sz w:val="24"/>
          <w:szCs w:val="24"/>
        </w:rPr>
        <w:t>Ioannou &amp; Serafeim, 2014).</w:t>
      </w:r>
      <w:r w:rsidR="00992B80" w:rsidRPr="003D5B4E">
        <w:rPr>
          <w:rFonts w:ascii="Times New Roman" w:hAnsi="Times New Roman" w:cs="Times New Roman"/>
          <w:sz w:val="24"/>
          <w:szCs w:val="24"/>
        </w:rPr>
        <w:t xml:space="preserve"> </w:t>
      </w:r>
      <w:r w:rsidR="00EC3533" w:rsidRPr="003D5B4E">
        <w:rPr>
          <w:rFonts w:ascii="Times New Roman" w:hAnsi="Times New Roman" w:cs="Times New Roman"/>
          <w:sz w:val="24"/>
          <w:szCs w:val="24"/>
        </w:rPr>
        <w:t>Scholars revealed</w:t>
      </w:r>
      <w:r w:rsidR="00992B80" w:rsidRPr="003D5B4E">
        <w:rPr>
          <w:rFonts w:ascii="Times New Roman" w:hAnsi="Times New Roman" w:cs="Times New Roman"/>
          <w:sz w:val="24"/>
          <w:szCs w:val="24"/>
        </w:rPr>
        <w:t xml:space="preserve"> that mandatory disclosures are more likely to yield real CSR effects compared to voluntary disclosures, although the effects of non-binding approaches like the comply or explain method remain unclear (Christensen, </w:t>
      </w:r>
      <w:r w:rsidR="002E2026" w:rsidRPr="003D5B4E">
        <w:rPr>
          <w:rFonts w:ascii="Times New Roman" w:hAnsi="Times New Roman" w:cs="Times New Roman"/>
          <w:sz w:val="24"/>
          <w:szCs w:val="24"/>
        </w:rPr>
        <w:t>et al.,</w:t>
      </w:r>
      <w:r w:rsidR="00992B80" w:rsidRPr="003D5B4E">
        <w:rPr>
          <w:rFonts w:ascii="Times New Roman" w:hAnsi="Times New Roman" w:cs="Times New Roman"/>
          <w:sz w:val="24"/>
          <w:szCs w:val="24"/>
        </w:rPr>
        <w:t xml:space="preserve"> 2021). </w:t>
      </w:r>
      <w:r w:rsidR="00E53C39" w:rsidRPr="003D5B4E">
        <w:rPr>
          <w:rFonts w:ascii="Times New Roman" w:hAnsi="Times New Roman" w:cs="Times New Roman"/>
          <w:sz w:val="24"/>
          <w:szCs w:val="24"/>
        </w:rPr>
        <w:t>Cuomo et al. (2022) find that</w:t>
      </w:r>
      <w:r w:rsidR="00992B80" w:rsidRPr="003D5B4E">
        <w:rPr>
          <w:rFonts w:ascii="Times New Roman" w:hAnsi="Times New Roman" w:cs="Times New Roman"/>
          <w:sz w:val="24"/>
          <w:szCs w:val="24"/>
        </w:rPr>
        <w:t xml:space="preserve"> the comply or explain approach to regulate CSR disclosure, as in the case of the EU NFRD, </w:t>
      </w:r>
      <w:r w:rsidR="00E53C39" w:rsidRPr="003D5B4E">
        <w:rPr>
          <w:rFonts w:ascii="Times New Roman" w:hAnsi="Times New Roman" w:cs="Times New Roman"/>
          <w:sz w:val="24"/>
          <w:szCs w:val="24"/>
        </w:rPr>
        <w:t>is effective</w:t>
      </w:r>
      <w:r w:rsidR="00992B80" w:rsidRPr="003D5B4E">
        <w:rPr>
          <w:rFonts w:ascii="Times New Roman" w:hAnsi="Times New Roman" w:cs="Times New Roman"/>
          <w:sz w:val="24"/>
          <w:szCs w:val="24"/>
        </w:rPr>
        <w:t xml:space="preserve"> in promoting CSR transparency and more sustainable development</w:t>
      </w:r>
      <w:r w:rsidR="00E53C39" w:rsidRPr="003D5B4E">
        <w:rPr>
          <w:rFonts w:ascii="Times New Roman" w:hAnsi="Times New Roman" w:cs="Times New Roman"/>
          <w:sz w:val="24"/>
          <w:szCs w:val="24"/>
        </w:rPr>
        <w:t>. In general,</w:t>
      </w:r>
      <w:r w:rsidR="002E2026" w:rsidRPr="003D5B4E">
        <w:rPr>
          <w:rFonts w:ascii="Times New Roman" w:hAnsi="Times New Roman" w:cs="Times New Roman"/>
          <w:sz w:val="24"/>
          <w:szCs w:val="24"/>
        </w:rPr>
        <w:t xml:space="preserve"> </w:t>
      </w:r>
      <w:r w:rsidR="00E53C39" w:rsidRPr="003D5B4E">
        <w:rPr>
          <w:rFonts w:ascii="Times New Roman" w:hAnsi="Times New Roman" w:cs="Times New Roman"/>
          <w:sz w:val="24"/>
          <w:szCs w:val="24"/>
        </w:rPr>
        <w:t xml:space="preserve">legislation by central governments is more successful in ensuring credible reporting compared to market mechanisms promoted by stock exchanges (Chelli, </w:t>
      </w:r>
      <w:r w:rsidR="00C54076" w:rsidRPr="003D5B4E">
        <w:rPr>
          <w:rFonts w:ascii="Times New Roman" w:hAnsi="Times New Roman" w:cs="Times New Roman"/>
          <w:sz w:val="24"/>
          <w:szCs w:val="24"/>
        </w:rPr>
        <w:t>et al.</w:t>
      </w:r>
      <w:r w:rsidR="00E53C39" w:rsidRPr="003D5B4E">
        <w:rPr>
          <w:rFonts w:ascii="Times New Roman" w:hAnsi="Times New Roman" w:cs="Times New Roman"/>
          <w:sz w:val="24"/>
          <w:szCs w:val="24"/>
        </w:rPr>
        <w:t xml:space="preserve">, 2018). However, studies </w:t>
      </w:r>
      <w:r w:rsidR="002E2026" w:rsidRPr="003D5B4E">
        <w:rPr>
          <w:rFonts w:ascii="Times New Roman" w:hAnsi="Times New Roman" w:cs="Times New Roman"/>
          <w:sz w:val="24"/>
          <w:szCs w:val="24"/>
        </w:rPr>
        <w:t>by</w:t>
      </w:r>
      <w:r w:rsidR="00E53C39" w:rsidRPr="003D5B4E">
        <w:rPr>
          <w:rFonts w:ascii="Times New Roman" w:hAnsi="Times New Roman" w:cs="Times New Roman"/>
          <w:sz w:val="24"/>
          <w:szCs w:val="24"/>
        </w:rPr>
        <w:t xml:space="preserve"> Luque-Vilchez and Larrinaga (2016) and Chauvey et al. (2015) show that mandatory ESG disclosure does not necessarily lead to an improvement in information quality. Rather, the credibility of ESG </w:t>
      </w:r>
      <w:r w:rsidR="00E53C39" w:rsidRPr="003D5B4E">
        <w:rPr>
          <w:rFonts w:ascii="Times New Roman" w:hAnsi="Times New Roman" w:cs="Times New Roman"/>
          <w:sz w:val="24"/>
          <w:szCs w:val="24"/>
        </w:rPr>
        <w:lastRenderedPageBreak/>
        <w:t>disclosures depends on the level of assurance provided by Internal Auditors and other entities countering information bias (e.g., Ackers</w:t>
      </w:r>
      <w:r w:rsidR="00C54076" w:rsidRPr="003D5B4E">
        <w:rPr>
          <w:rFonts w:ascii="Times New Roman" w:hAnsi="Times New Roman" w:cs="Times New Roman"/>
          <w:sz w:val="24"/>
          <w:szCs w:val="24"/>
        </w:rPr>
        <w:t xml:space="preserve"> &amp; Eccles</w:t>
      </w:r>
      <w:r w:rsidR="00E53C39" w:rsidRPr="003D5B4E">
        <w:rPr>
          <w:rFonts w:ascii="Times New Roman" w:hAnsi="Times New Roman" w:cs="Times New Roman"/>
          <w:sz w:val="24"/>
          <w:szCs w:val="24"/>
        </w:rPr>
        <w:t xml:space="preserve">, 2015; Holt, 2012). </w:t>
      </w:r>
    </w:p>
    <w:p w14:paraId="23BFA4D8" w14:textId="5346E28B" w:rsidR="005615F4" w:rsidRDefault="003870A4"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NFRD required publicly traded companies with an average of more than 500 employees to disclose non-financial information, focused on environmental, social, employee, human rights, and anti-corruption and anti-bribery issues (Directive 2014/95/EU). The NFRD did not impose a specific standard to be followed, allowing companies considerable latitude in how they implemented its requirements, potentially permitting disclosures that might favor their interests. In addition to following the comply-or-explain principle, the concept of </w:t>
      </w:r>
      <w:r w:rsidR="001A727B" w:rsidRPr="003D5B4E">
        <w:rPr>
          <w:rFonts w:ascii="Times New Roman" w:hAnsi="Times New Roman" w:cs="Times New Roman"/>
          <w:sz w:val="24"/>
          <w:szCs w:val="24"/>
        </w:rPr>
        <w:t>double</w:t>
      </w:r>
      <w:r w:rsidRPr="003D5B4E">
        <w:rPr>
          <w:rFonts w:ascii="Times New Roman" w:hAnsi="Times New Roman" w:cs="Times New Roman"/>
          <w:sz w:val="24"/>
          <w:szCs w:val="24"/>
        </w:rPr>
        <w:t xml:space="preserve"> materiality, which requires companies to consider how sustainability issues affect the business and vice versa, was difficult to implement as stakeholders noted that the NFRD lacked a clear definition of materiality (Hahnkamper-Vandenbulcke, 2021). </w:t>
      </w:r>
      <w:r w:rsidR="00167E01" w:rsidRPr="003D5B4E">
        <w:rPr>
          <w:rFonts w:ascii="Times New Roman" w:hAnsi="Times New Roman" w:cs="Times New Roman"/>
          <w:sz w:val="24"/>
          <w:szCs w:val="24"/>
        </w:rPr>
        <w:t xml:space="preserve">The NFRD requires only a limited scope of assurance, which results in limited comparability of disclosures. </w:t>
      </w:r>
      <w:r w:rsidR="005615F4" w:rsidRPr="003D5B4E">
        <w:rPr>
          <w:rFonts w:ascii="Times New Roman" w:hAnsi="Times New Roman" w:cs="Times New Roman"/>
          <w:sz w:val="24"/>
          <w:szCs w:val="24"/>
        </w:rPr>
        <w:t xml:space="preserve">The CSRD goes one step further than the NFRD in three key areas (1) the nature of the disclosure requirement, (2) the scope of companies covered by the Directive, and (3) the scope of topics to be reported. While the NFRD applied the comply or explain principle, the CSRD ultimately moves away from the concept of voluntary reporting practices or relying on market mechanisms to compel company reporting. The CSRD addresses the issues outlined in the SDGs through mandatory measures, given the urgent need to achieve sustainable change in the global economy and the increased comparability provided by a defined reporting framework. However, this approach also carries the risk off overshadowing the genuine efforts of many to contribute to this necessary sustainable change, as well as promoting a checkbox mentality towards sustainability reporting (Adams &amp; Abhayawansa, 2021). In addition, the CSRD significantly expands the scope of the NFRD and increases the number of companies subject to reporting requirements from 11,600 to 49,000 across the EU (Federal Ministry of Labor and Social Affairs, 2024). The scope of application affects </w:t>
      </w:r>
      <w:r w:rsidR="0041236F">
        <w:rPr>
          <w:rFonts w:ascii="Times New Roman" w:hAnsi="Times New Roman" w:cs="Times New Roman"/>
          <w:sz w:val="24"/>
          <w:szCs w:val="24"/>
        </w:rPr>
        <w:t>organization</w:t>
      </w:r>
      <w:r w:rsidR="005615F4" w:rsidRPr="003D5B4E">
        <w:rPr>
          <w:rFonts w:ascii="Times New Roman" w:hAnsi="Times New Roman" w:cs="Times New Roman"/>
          <w:sz w:val="24"/>
          <w:szCs w:val="24"/>
        </w:rPr>
        <w:t xml:space="preserve">s and commercial partnerships with exclusively limited liability </w:t>
      </w:r>
      <w:r w:rsidR="005615F4" w:rsidRPr="003D5B4E">
        <w:rPr>
          <w:rFonts w:ascii="Times New Roman" w:hAnsi="Times New Roman" w:cs="Times New Roman"/>
          <w:sz w:val="24"/>
          <w:szCs w:val="24"/>
        </w:rPr>
        <w:lastRenderedPageBreak/>
        <w:t xml:space="preserve">shareholders, including large companies as defined by accounting law, small and medium-sized </w:t>
      </w:r>
      <w:r w:rsidR="00DB5DC3" w:rsidRPr="003D5B4E">
        <w:rPr>
          <w:rFonts w:ascii="Times New Roman" w:hAnsi="Times New Roman" w:cs="Times New Roman"/>
          <w:sz w:val="24"/>
          <w:szCs w:val="24"/>
        </w:rPr>
        <w:t>enterprises</w:t>
      </w:r>
      <w:r w:rsidR="005615F4" w:rsidRPr="003D5B4E">
        <w:rPr>
          <w:rFonts w:ascii="Times New Roman" w:hAnsi="Times New Roman" w:cs="Times New Roman"/>
          <w:sz w:val="24"/>
          <w:szCs w:val="24"/>
        </w:rPr>
        <w:t xml:space="preserve"> that are capital market-oriented, and third-country companies with a turnover of EUR 105 million in the EU whose subsidiaries meet the above size criteria or whose branches achieve a turnover of more than EUR 40 million. In comparison to the NFRD, the CSRD provides a coherent and comprehensive set of </w:t>
      </w:r>
      <w:r w:rsidR="00972402" w:rsidRPr="003D5B4E">
        <w:rPr>
          <w:rFonts w:ascii="Times New Roman" w:hAnsi="Times New Roman" w:cs="Times New Roman"/>
          <w:sz w:val="24"/>
          <w:szCs w:val="24"/>
        </w:rPr>
        <w:t xml:space="preserve">sustainability standards </w:t>
      </w:r>
      <w:r w:rsidR="005615F4" w:rsidRPr="003D5B4E">
        <w:rPr>
          <w:rFonts w:ascii="Times New Roman" w:hAnsi="Times New Roman" w:cs="Times New Roman"/>
          <w:sz w:val="24"/>
          <w:szCs w:val="24"/>
        </w:rPr>
        <w:t>focusing on environmental, social, and governmental aspects (</w:t>
      </w:r>
      <w:r w:rsidR="000836AE" w:rsidRPr="003D5B4E">
        <w:rPr>
          <w:rFonts w:ascii="Times New Roman" w:hAnsi="Times New Roman" w:cs="Times New Roman"/>
          <w:sz w:val="24"/>
          <w:szCs w:val="24"/>
        </w:rPr>
        <w:t>Directive 2023/2772</w:t>
      </w:r>
      <w:r w:rsidR="005615F4" w:rsidRPr="003D5B4E">
        <w:rPr>
          <w:rFonts w:ascii="Times New Roman" w:hAnsi="Times New Roman" w:cs="Times New Roman"/>
          <w:sz w:val="24"/>
          <w:szCs w:val="24"/>
        </w:rPr>
        <w:t xml:space="preserve">). </w:t>
      </w:r>
      <w:r w:rsidR="00972402" w:rsidRPr="003D5B4E">
        <w:rPr>
          <w:rFonts w:ascii="Times New Roman" w:hAnsi="Times New Roman" w:cs="Times New Roman"/>
          <w:sz w:val="24"/>
          <w:szCs w:val="24"/>
        </w:rPr>
        <w:t>These standards complement the CSRD by providing specific reporting guidelines to achieve both comparability between reports and direction in the development of sustainability reports (Giner &amp; Luque-Vilchez, 2022). Disclosures under the CSRD are subject to external review to ensure compliance with the guidelines (Directive 2022/2464/EU).</w:t>
      </w:r>
      <w:r w:rsidR="005428CC" w:rsidRPr="003D5B4E">
        <w:rPr>
          <w:rFonts w:ascii="Times New Roman" w:hAnsi="Times New Roman" w:cs="Times New Roman"/>
          <w:sz w:val="24"/>
          <w:szCs w:val="24"/>
        </w:rPr>
        <w:t xml:space="preserve"> Beginning in the 2024 financial year, the reporting requirements will be phased in, with the first wave of companies required to comply with the new rules due to publish their reports in 2025 (European Commission, 2023c).</w:t>
      </w:r>
    </w:p>
    <w:p w14:paraId="76019BBB" w14:textId="77777777" w:rsidR="006C3533" w:rsidRPr="003D5B4E" w:rsidRDefault="006C3533" w:rsidP="0041236F">
      <w:pPr>
        <w:spacing w:line="480" w:lineRule="auto"/>
        <w:jc w:val="both"/>
        <w:rPr>
          <w:rFonts w:ascii="Times New Roman" w:hAnsi="Times New Roman" w:cs="Times New Roman"/>
          <w:sz w:val="24"/>
          <w:szCs w:val="24"/>
        </w:rPr>
      </w:pPr>
    </w:p>
    <w:p w14:paraId="6B883FBD" w14:textId="0958CE94" w:rsidR="00B6106C" w:rsidRPr="003D5B4E" w:rsidRDefault="00BA180F" w:rsidP="0041236F">
      <w:pPr>
        <w:spacing w:line="480" w:lineRule="auto"/>
        <w:jc w:val="both"/>
        <w:rPr>
          <w:rFonts w:ascii="Times New Roman" w:hAnsi="Times New Roman" w:cs="Times New Roman"/>
          <w:b/>
          <w:bCs/>
          <w:sz w:val="24"/>
          <w:szCs w:val="24"/>
        </w:rPr>
      </w:pPr>
      <w:r w:rsidRPr="003D5B4E">
        <w:rPr>
          <w:rFonts w:ascii="Times New Roman" w:hAnsi="Times New Roman" w:cs="Times New Roman"/>
          <w:b/>
          <w:bCs/>
          <w:sz w:val="24"/>
          <w:szCs w:val="24"/>
        </w:rPr>
        <w:t>Theoretical Framework</w:t>
      </w:r>
    </w:p>
    <w:p w14:paraId="408A1E05" w14:textId="14EB7FF1" w:rsidR="00597327" w:rsidRPr="003D5B4E" w:rsidRDefault="00621BC4"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In order to understand, predict, and mitigate the phenomenon of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scholars developed various theories. </w:t>
      </w:r>
      <w:r w:rsidR="00902D17" w:rsidRPr="003D5B4E">
        <w:rPr>
          <w:rFonts w:ascii="Times New Roman" w:hAnsi="Times New Roman" w:cs="Times New Roman"/>
          <w:sz w:val="24"/>
          <w:szCs w:val="24"/>
        </w:rPr>
        <w:t xml:space="preserve">Foster and Fullagar (2018) applied the </w:t>
      </w:r>
      <w:r w:rsidR="00D94960" w:rsidRPr="003D5B4E">
        <w:rPr>
          <w:rFonts w:ascii="Times New Roman" w:hAnsi="Times New Roman" w:cs="Times New Roman"/>
          <w:sz w:val="24"/>
          <w:szCs w:val="24"/>
        </w:rPr>
        <w:t>T</w:t>
      </w:r>
      <w:r w:rsidR="00902D17" w:rsidRPr="003D5B4E">
        <w:rPr>
          <w:rFonts w:ascii="Times New Roman" w:hAnsi="Times New Roman" w:cs="Times New Roman"/>
          <w:sz w:val="24"/>
          <w:szCs w:val="24"/>
        </w:rPr>
        <w:t xml:space="preserve">heory of </w:t>
      </w:r>
      <w:r w:rsidR="00D94960" w:rsidRPr="003D5B4E">
        <w:rPr>
          <w:rFonts w:ascii="Times New Roman" w:hAnsi="Times New Roman" w:cs="Times New Roman"/>
          <w:sz w:val="24"/>
          <w:szCs w:val="24"/>
        </w:rPr>
        <w:t>Pl</w:t>
      </w:r>
      <w:r w:rsidR="00902D17" w:rsidRPr="003D5B4E">
        <w:rPr>
          <w:rFonts w:ascii="Times New Roman" w:hAnsi="Times New Roman" w:cs="Times New Roman"/>
          <w:sz w:val="24"/>
          <w:szCs w:val="24"/>
        </w:rPr>
        <w:t xml:space="preserve">anned </w:t>
      </w:r>
      <w:r w:rsidR="00D94960" w:rsidRPr="003D5B4E">
        <w:rPr>
          <w:rFonts w:ascii="Times New Roman" w:hAnsi="Times New Roman" w:cs="Times New Roman"/>
          <w:sz w:val="24"/>
          <w:szCs w:val="24"/>
        </w:rPr>
        <w:t>B</w:t>
      </w:r>
      <w:r w:rsidR="00902D17" w:rsidRPr="003D5B4E">
        <w:rPr>
          <w:rFonts w:ascii="Times New Roman" w:hAnsi="Times New Roman" w:cs="Times New Roman"/>
          <w:sz w:val="24"/>
          <w:szCs w:val="24"/>
        </w:rPr>
        <w:t xml:space="preserve">ehavior to predict a victim’s intention to report </w:t>
      </w:r>
      <w:r w:rsidR="00D6692F" w:rsidRPr="003D5B4E">
        <w:rPr>
          <w:rFonts w:ascii="Times New Roman" w:hAnsi="Times New Roman" w:cs="Times New Roman"/>
          <w:sz w:val="24"/>
          <w:szCs w:val="24"/>
        </w:rPr>
        <w:t xml:space="preserve">incidents of </w:t>
      </w:r>
      <w:r w:rsidR="00103072" w:rsidRPr="003D5B4E">
        <w:rPr>
          <w:rFonts w:ascii="Times New Roman" w:hAnsi="Times New Roman" w:cs="Times New Roman"/>
          <w:sz w:val="24"/>
          <w:szCs w:val="24"/>
        </w:rPr>
        <w:t>SH</w:t>
      </w:r>
      <w:r w:rsidR="00902D17" w:rsidRPr="003D5B4E">
        <w:rPr>
          <w:rFonts w:ascii="Times New Roman" w:hAnsi="Times New Roman" w:cs="Times New Roman"/>
          <w:sz w:val="24"/>
          <w:szCs w:val="24"/>
        </w:rPr>
        <w:t xml:space="preserve"> based on the victim’s attitudes, subjective norms, and perceived control over the incident. </w:t>
      </w:r>
      <w:r w:rsidR="00D6692F" w:rsidRPr="003D5B4E">
        <w:rPr>
          <w:rFonts w:ascii="Times New Roman" w:hAnsi="Times New Roman" w:cs="Times New Roman"/>
          <w:sz w:val="24"/>
          <w:szCs w:val="24"/>
        </w:rPr>
        <w:t xml:space="preserve">The likelihood of a victim reporting </w:t>
      </w:r>
      <w:r w:rsidR="00103072" w:rsidRPr="003D5B4E">
        <w:rPr>
          <w:rFonts w:ascii="Times New Roman" w:hAnsi="Times New Roman" w:cs="Times New Roman"/>
          <w:sz w:val="24"/>
          <w:szCs w:val="24"/>
        </w:rPr>
        <w:t>SH</w:t>
      </w:r>
      <w:r w:rsidR="00D6692F" w:rsidRPr="003D5B4E">
        <w:rPr>
          <w:rFonts w:ascii="Times New Roman" w:hAnsi="Times New Roman" w:cs="Times New Roman"/>
          <w:sz w:val="24"/>
          <w:szCs w:val="24"/>
        </w:rPr>
        <w:t xml:space="preserve"> is higher when they have confidence that the harasser will face consequences, assurance that their reputation will remain intact, and a positive perception of the reporting process rather than feeling embarrassed. Clarke (2014) suggests that the level of tolerance for </w:t>
      </w:r>
      <w:r w:rsidR="00103072" w:rsidRPr="003D5B4E">
        <w:rPr>
          <w:rFonts w:ascii="Times New Roman" w:hAnsi="Times New Roman" w:cs="Times New Roman"/>
          <w:sz w:val="24"/>
          <w:szCs w:val="24"/>
        </w:rPr>
        <w:t>SH</w:t>
      </w:r>
      <w:r w:rsidR="00D6692F" w:rsidRPr="003D5B4E">
        <w:rPr>
          <w:rFonts w:ascii="Times New Roman" w:hAnsi="Times New Roman" w:cs="Times New Roman"/>
          <w:sz w:val="24"/>
          <w:szCs w:val="24"/>
        </w:rPr>
        <w:t>, organizational justice, trust in leaders, and support from coworkers c</w:t>
      </w:r>
      <w:r w:rsidR="00F51ABB" w:rsidRPr="003D5B4E">
        <w:rPr>
          <w:rFonts w:ascii="Times New Roman" w:hAnsi="Times New Roman" w:cs="Times New Roman"/>
          <w:sz w:val="24"/>
          <w:szCs w:val="24"/>
        </w:rPr>
        <w:t xml:space="preserve">an </w:t>
      </w:r>
      <w:r w:rsidR="00D6692F" w:rsidRPr="003D5B4E">
        <w:rPr>
          <w:rFonts w:ascii="Times New Roman" w:hAnsi="Times New Roman" w:cs="Times New Roman"/>
          <w:sz w:val="24"/>
          <w:szCs w:val="24"/>
        </w:rPr>
        <w:t xml:space="preserve">affect </w:t>
      </w:r>
      <w:r w:rsidR="00F51ABB" w:rsidRPr="003D5B4E">
        <w:rPr>
          <w:rFonts w:ascii="Times New Roman" w:hAnsi="Times New Roman" w:cs="Times New Roman"/>
          <w:sz w:val="24"/>
          <w:szCs w:val="24"/>
        </w:rPr>
        <w:t>a</w:t>
      </w:r>
      <w:r w:rsidR="00D6692F" w:rsidRPr="003D5B4E">
        <w:rPr>
          <w:rFonts w:ascii="Times New Roman" w:hAnsi="Times New Roman" w:cs="Times New Roman"/>
          <w:sz w:val="24"/>
          <w:szCs w:val="24"/>
        </w:rPr>
        <w:t xml:space="preserve"> victim’s attitude, subjective norm, and perceived behavioral control regarding reporting. These factors, in turn, contribute to the formation of the intention to report</w:t>
      </w:r>
      <w:r w:rsidR="00F51ABB" w:rsidRPr="003D5B4E">
        <w:rPr>
          <w:rFonts w:ascii="Times New Roman" w:hAnsi="Times New Roman" w:cs="Times New Roman"/>
          <w:sz w:val="24"/>
          <w:szCs w:val="24"/>
        </w:rPr>
        <w:t xml:space="preserve">, which ultimately predicts actual </w:t>
      </w:r>
      <w:r w:rsidR="00F51ABB" w:rsidRPr="003D5B4E">
        <w:rPr>
          <w:rFonts w:ascii="Times New Roman" w:hAnsi="Times New Roman" w:cs="Times New Roman"/>
          <w:sz w:val="24"/>
          <w:szCs w:val="24"/>
        </w:rPr>
        <w:lastRenderedPageBreak/>
        <w:t>reporting behavior.</w:t>
      </w:r>
      <w:r w:rsidR="003F6A52" w:rsidRPr="003D5B4E">
        <w:rPr>
          <w:rFonts w:ascii="Times New Roman" w:hAnsi="Times New Roman" w:cs="Times New Roman"/>
          <w:sz w:val="24"/>
          <w:szCs w:val="24"/>
        </w:rPr>
        <w:t xml:space="preserve"> Although the literature on </w:t>
      </w:r>
      <w:r w:rsidR="00103072" w:rsidRPr="003D5B4E">
        <w:rPr>
          <w:rFonts w:ascii="Times New Roman" w:hAnsi="Times New Roman" w:cs="Times New Roman"/>
          <w:sz w:val="24"/>
          <w:szCs w:val="24"/>
        </w:rPr>
        <w:t>SH</w:t>
      </w:r>
      <w:r w:rsidR="003F6A52" w:rsidRPr="003D5B4E">
        <w:rPr>
          <w:rFonts w:ascii="Times New Roman" w:hAnsi="Times New Roman" w:cs="Times New Roman"/>
          <w:sz w:val="24"/>
          <w:szCs w:val="24"/>
        </w:rPr>
        <w:t xml:space="preserve"> has not yet adopted a clear </w:t>
      </w:r>
      <w:r w:rsidR="00D94960" w:rsidRPr="003D5B4E">
        <w:rPr>
          <w:rFonts w:ascii="Times New Roman" w:hAnsi="Times New Roman" w:cs="Times New Roman"/>
          <w:sz w:val="24"/>
          <w:szCs w:val="24"/>
        </w:rPr>
        <w:t xml:space="preserve">explanation for the phenomenon following the Social Cognitive Theory, empirical evidence suggests applicability (e.g., Pryor et al., 1993). In general, a social-cognitive explanation of any phenomenon includes three basic components: (1) the content and structure of long-term memory, which refers to beliefs and their schematic organization; (2) social-cognitive processing, which involves cognitive mechanisms such as attention and retrieval used to process social information; and (3) cognitive products, which are final-stage beliefs, thoughts, and attributions resulting from the content, organization, and processing of social information (Hollon &amp; Kriss, 1984). According to Social Cognitive Theory, men who engage in antisocial behavior possess behavior-supportive beliefs and schemas in long-term memory that affect their social information processing in antisocial ways (Ward &amp; Keenan, 1999). </w:t>
      </w:r>
      <w:r w:rsidR="005562A8" w:rsidRPr="003D5B4E">
        <w:rPr>
          <w:rFonts w:ascii="Times New Roman" w:hAnsi="Times New Roman" w:cs="Times New Roman"/>
          <w:sz w:val="24"/>
          <w:szCs w:val="24"/>
        </w:rPr>
        <w:t xml:space="preserve">The Four Factor Theory of Sexual Harassment integrates key components of earlier single-factor theories (O’Hare &amp; O’Donohue, 1998). The multifactor theory consists of: (1) the motivation of an individual to harass, such as power, control, or sexual attraction, (2) the internal inhibitions an individual must overcome, such as moral inhibitions, (3) the external inhibitions an individual must overcome, such as organizational barriers, and (4) the victim’s resistance an individual must overcome, such as assertiveness or the victim’s relative status in the workplace. Institutional theory focuses on </w:t>
      </w:r>
      <w:r w:rsidR="00223C82" w:rsidRPr="003D5B4E">
        <w:rPr>
          <w:rFonts w:ascii="Times New Roman" w:hAnsi="Times New Roman" w:cs="Times New Roman"/>
          <w:sz w:val="24"/>
          <w:szCs w:val="24"/>
        </w:rPr>
        <w:t xml:space="preserve">the relationships between individuals, organizations, and society. Shadnam and Lawrence (2011) suggest that morality is integrated within a nested system of individuals, organizations, and moral communities. Ideology and regulation flow downward from moral communities through organizations to individuals, while moral ideas and influence flow upward from individuals through organizations to moral communities. Moral breakdown is linked to a collapse of these flows. </w:t>
      </w:r>
    </w:p>
    <w:p w14:paraId="559E018A" w14:textId="082EA305" w:rsidR="00593F7A" w:rsidRPr="003D5B4E" w:rsidRDefault="009A69AF"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We use these theories to assess the validity and eligibility of the framework of McDonald et al. (2015) on effective prevention and response strategies in workplace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for our ex-ante impact </w:t>
      </w:r>
      <w:r w:rsidRPr="003D5B4E">
        <w:rPr>
          <w:rFonts w:ascii="Times New Roman" w:hAnsi="Times New Roman" w:cs="Times New Roman"/>
          <w:sz w:val="24"/>
          <w:szCs w:val="24"/>
        </w:rPr>
        <w:lastRenderedPageBreak/>
        <w:t>analysis.</w:t>
      </w:r>
      <w:r w:rsidR="00E94C03" w:rsidRPr="003D5B4E">
        <w:rPr>
          <w:rFonts w:ascii="Times New Roman" w:hAnsi="Times New Roman" w:cs="Times New Roman"/>
          <w:sz w:val="24"/>
          <w:szCs w:val="24"/>
        </w:rPr>
        <w:t xml:space="preserve"> </w:t>
      </w:r>
      <w:r w:rsidR="00441A3D" w:rsidRPr="003D5B4E">
        <w:rPr>
          <w:rFonts w:ascii="Times New Roman" w:hAnsi="Times New Roman" w:cs="Times New Roman"/>
          <w:sz w:val="24"/>
          <w:szCs w:val="24"/>
        </w:rPr>
        <w:t xml:space="preserve">McDonald et al. (2015) categorize strategies using a two-dimensional typology that describes the timing of interventions and their functions. Examining both the timing and key functions or tasks associated with prevention interventions helps to explain why </w:t>
      </w:r>
      <w:r w:rsidR="00103072" w:rsidRPr="003D5B4E">
        <w:rPr>
          <w:rFonts w:ascii="Times New Roman" w:hAnsi="Times New Roman" w:cs="Times New Roman"/>
          <w:sz w:val="24"/>
          <w:szCs w:val="24"/>
        </w:rPr>
        <w:t>SH</w:t>
      </w:r>
      <w:r w:rsidR="00441A3D" w:rsidRPr="003D5B4E">
        <w:rPr>
          <w:rFonts w:ascii="Times New Roman" w:hAnsi="Times New Roman" w:cs="Times New Roman"/>
          <w:sz w:val="24"/>
          <w:szCs w:val="24"/>
        </w:rPr>
        <w:t xml:space="preserve"> remains a persistent phenomenon in the workplace, despite laws prohibiting it. Many organizations fail to implement effective strategies across all organizational functions and/or at the right time. The absence of proactive, coordinated, and responsive measures against </w:t>
      </w:r>
      <w:r w:rsidR="00103072" w:rsidRPr="003D5B4E">
        <w:rPr>
          <w:rFonts w:ascii="Times New Roman" w:hAnsi="Times New Roman" w:cs="Times New Roman"/>
          <w:sz w:val="24"/>
          <w:szCs w:val="24"/>
        </w:rPr>
        <w:t>SH</w:t>
      </w:r>
      <w:r w:rsidR="00441A3D" w:rsidRPr="003D5B4E">
        <w:rPr>
          <w:rFonts w:ascii="Times New Roman" w:hAnsi="Times New Roman" w:cs="Times New Roman"/>
          <w:sz w:val="24"/>
          <w:szCs w:val="24"/>
        </w:rPr>
        <w:t xml:space="preserve"> can create an environment in which such injustices can flourish.</w:t>
      </w:r>
      <w:r w:rsidR="00300A4F" w:rsidRPr="003D5B4E">
        <w:rPr>
          <w:rFonts w:ascii="Times New Roman" w:hAnsi="Times New Roman" w:cs="Times New Roman"/>
          <w:sz w:val="24"/>
          <w:szCs w:val="24"/>
        </w:rPr>
        <w:t xml:space="preserve"> According to McDonald et al. (2015), the categorization of strategies addressing </w:t>
      </w:r>
      <w:r w:rsidR="00103072" w:rsidRPr="003D5B4E">
        <w:rPr>
          <w:rFonts w:ascii="Times New Roman" w:hAnsi="Times New Roman" w:cs="Times New Roman"/>
          <w:sz w:val="24"/>
          <w:szCs w:val="24"/>
        </w:rPr>
        <w:t>SH</w:t>
      </w:r>
      <w:r w:rsidR="00300A4F" w:rsidRPr="003D5B4E">
        <w:rPr>
          <w:rFonts w:ascii="Times New Roman" w:hAnsi="Times New Roman" w:cs="Times New Roman"/>
          <w:sz w:val="24"/>
          <w:szCs w:val="24"/>
        </w:rPr>
        <w:t xml:space="preserve"> based on timing – primary, secondary, and tertiary prevention – provides conceptual clarity in understanding organizational actions. These strategies aim to: (1) eliminate the causes of </w:t>
      </w:r>
      <w:r w:rsidR="00103072" w:rsidRPr="003D5B4E">
        <w:rPr>
          <w:rFonts w:ascii="Times New Roman" w:hAnsi="Times New Roman" w:cs="Times New Roman"/>
          <w:sz w:val="24"/>
          <w:szCs w:val="24"/>
        </w:rPr>
        <w:t>SH</w:t>
      </w:r>
      <w:r w:rsidR="00300A4F" w:rsidRPr="003D5B4E">
        <w:rPr>
          <w:rFonts w:ascii="Times New Roman" w:hAnsi="Times New Roman" w:cs="Times New Roman"/>
          <w:sz w:val="24"/>
          <w:szCs w:val="24"/>
        </w:rPr>
        <w:t xml:space="preserve">, (2) respond immediately and appropriately when </w:t>
      </w:r>
      <w:r w:rsidR="00103072" w:rsidRPr="003D5B4E">
        <w:rPr>
          <w:rFonts w:ascii="Times New Roman" w:hAnsi="Times New Roman" w:cs="Times New Roman"/>
          <w:sz w:val="24"/>
          <w:szCs w:val="24"/>
        </w:rPr>
        <w:t>SH</w:t>
      </w:r>
      <w:r w:rsidR="00300A4F" w:rsidRPr="003D5B4E">
        <w:rPr>
          <w:rFonts w:ascii="Times New Roman" w:hAnsi="Times New Roman" w:cs="Times New Roman"/>
          <w:sz w:val="24"/>
          <w:szCs w:val="24"/>
        </w:rPr>
        <w:t xml:space="preserve"> occurs to deal with short-term consequences, and (3) address lasting consequences, including restoring health and safety (Chamberlain, 2008; Cornelius and Resseguie, 2006). This classification informs organizations about the need for preventive, short-term, and longer-term remedial measures. Within this framework, strategies are further categorized into messages (defining </w:t>
      </w:r>
      <w:r w:rsidR="00103072" w:rsidRPr="003D5B4E">
        <w:rPr>
          <w:rFonts w:ascii="Times New Roman" w:hAnsi="Times New Roman" w:cs="Times New Roman"/>
          <w:sz w:val="24"/>
          <w:szCs w:val="24"/>
        </w:rPr>
        <w:t>SH</w:t>
      </w:r>
      <w:r w:rsidR="00300A4F" w:rsidRPr="003D5B4E">
        <w:rPr>
          <w:rFonts w:ascii="Times New Roman" w:hAnsi="Times New Roman" w:cs="Times New Roman"/>
          <w:sz w:val="24"/>
          <w:szCs w:val="24"/>
        </w:rPr>
        <w:t xml:space="preserve"> legally and behaviorally and communicating within the workplace), management (how organizational actors with the authority to do so prevent or intervene in </w:t>
      </w:r>
      <w:r w:rsidR="00103072" w:rsidRPr="003D5B4E">
        <w:rPr>
          <w:rFonts w:ascii="Times New Roman" w:hAnsi="Times New Roman" w:cs="Times New Roman"/>
          <w:sz w:val="24"/>
          <w:szCs w:val="24"/>
        </w:rPr>
        <w:t>SH</w:t>
      </w:r>
      <w:r w:rsidR="00E213C5" w:rsidRPr="003D5B4E">
        <w:rPr>
          <w:rFonts w:ascii="Times New Roman" w:hAnsi="Times New Roman" w:cs="Times New Roman"/>
          <w:sz w:val="24"/>
          <w:szCs w:val="24"/>
        </w:rPr>
        <w:t xml:space="preserve">), and monitoring (tasks identifying risk factors and assessing professional standards). </w:t>
      </w:r>
    </w:p>
    <w:p w14:paraId="6A3A8F7F" w14:textId="4C801358" w:rsidR="00777657" w:rsidRPr="003D5B4E" w:rsidRDefault="00B4238B"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We </w:t>
      </w:r>
      <w:r w:rsidR="00593F7A" w:rsidRPr="003D5B4E">
        <w:rPr>
          <w:rFonts w:ascii="Times New Roman" w:hAnsi="Times New Roman" w:cs="Times New Roman"/>
          <w:sz w:val="24"/>
          <w:szCs w:val="24"/>
        </w:rPr>
        <w:t xml:space="preserve">reviewed </w:t>
      </w:r>
      <w:r w:rsidR="004B1F4B" w:rsidRPr="003D5B4E">
        <w:rPr>
          <w:rFonts w:ascii="Times New Roman" w:hAnsi="Times New Roman" w:cs="Times New Roman"/>
          <w:sz w:val="24"/>
          <w:szCs w:val="24"/>
        </w:rPr>
        <w:t xml:space="preserve">the </w:t>
      </w:r>
      <w:r w:rsidR="00593F7A" w:rsidRPr="003D5B4E">
        <w:rPr>
          <w:rFonts w:ascii="Times New Roman" w:hAnsi="Times New Roman" w:cs="Times New Roman"/>
          <w:sz w:val="24"/>
          <w:szCs w:val="24"/>
        </w:rPr>
        <w:t xml:space="preserve">literature on </w:t>
      </w:r>
      <w:r w:rsidR="00103072" w:rsidRPr="003D5B4E">
        <w:rPr>
          <w:rFonts w:ascii="Times New Roman" w:hAnsi="Times New Roman" w:cs="Times New Roman"/>
          <w:sz w:val="24"/>
          <w:szCs w:val="24"/>
        </w:rPr>
        <w:t>SH</w:t>
      </w:r>
      <w:r w:rsidR="00593F7A" w:rsidRPr="003D5B4E">
        <w:rPr>
          <w:rFonts w:ascii="Times New Roman" w:hAnsi="Times New Roman" w:cs="Times New Roman"/>
          <w:sz w:val="24"/>
          <w:szCs w:val="24"/>
        </w:rPr>
        <w:t xml:space="preserve"> prevention and response strategies in </w:t>
      </w:r>
      <w:r w:rsidR="0041236F">
        <w:rPr>
          <w:rFonts w:ascii="Times New Roman" w:hAnsi="Times New Roman" w:cs="Times New Roman"/>
          <w:sz w:val="24"/>
          <w:szCs w:val="24"/>
        </w:rPr>
        <w:t>organization</w:t>
      </w:r>
      <w:r w:rsidR="00593F7A" w:rsidRPr="003D5B4E">
        <w:rPr>
          <w:rFonts w:ascii="Times New Roman" w:hAnsi="Times New Roman" w:cs="Times New Roman"/>
          <w:sz w:val="24"/>
          <w:szCs w:val="24"/>
        </w:rPr>
        <w:t xml:space="preserve">s </w:t>
      </w:r>
      <w:r w:rsidR="007540A9" w:rsidRPr="003D5B4E">
        <w:rPr>
          <w:rFonts w:ascii="Times New Roman" w:hAnsi="Times New Roman" w:cs="Times New Roman"/>
          <w:sz w:val="24"/>
          <w:szCs w:val="24"/>
        </w:rPr>
        <w:t>to add to the framework. Although the framework is already very mature, we found various aspects that should be added</w:t>
      </w:r>
      <w:r w:rsidR="00A157D1" w:rsidRPr="003D5B4E">
        <w:rPr>
          <w:rFonts w:ascii="Times New Roman" w:hAnsi="Times New Roman" w:cs="Times New Roman"/>
          <w:sz w:val="24"/>
          <w:szCs w:val="24"/>
        </w:rPr>
        <w:t xml:space="preserve">. Following prevalent literature, organizational climate is one of the most significant situational antecedents for incidents of </w:t>
      </w:r>
      <w:r w:rsidR="00103072" w:rsidRPr="003D5B4E">
        <w:rPr>
          <w:rFonts w:ascii="Times New Roman" w:hAnsi="Times New Roman" w:cs="Times New Roman"/>
          <w:sz w:val="24"/>
          <w:szCs w:val="24"/>
        </w:rPr>
        <w:t>SH</w:t>
      </w:r>
      <w:r w:rsidR="00A157D1" w:rsidRPr="003D5B4E">
        <w:rPr>
          <w:rFonts w:ascii="Times New Roman" w:hAnsi="Times New Roman" w:cs="Times New Roman"/>
          <w:sz w:val="24"/>
          <w:szCs w:val="24"/>
        </w:rPr>
        <w:t xml:space="preserve"> in the workplace (e.g., O’Leary-Kelly et al., 2009, Willness et al., 2007). </w:t>
      </w:r>
      <w:r w:rsidR="003A3D90" w:rsidRPr="003D5B4E">
        <w:rPr>
          <w:rFonts w:ascii="Times New Roman" w:hAnsi="Times New Roman" w:cs="Times New Roman"/>
          <w:sz w:val="24"/>
          <w:szCs w:val="24"/>
        </w:rPr>
        <w:t>An organizational climate that tolerates sexually harassing behavior contributes to incidents of such behavior. Consequently, managers must take specific measures to create a work environment that does not tolerate sexually harassing behavior.</w:t>
      </w:r>
      <w:r w:rsidR="00E93FB1" w:rsidRPr="003D5B4E">
        <w:rPr>
          <w:rFonts w:ascii="Times New Roman" w:hAnsi="Times New Roman" w:cs="Times New Roman"/>
          <w:sz w:val="24"/>
          <w:szCs w:val="24"/>
        </w:rPr>
        <w:t xml:space="preserve"> Atwater et al. (2021) </w:t>
      </w:r>
      <w:r w:rsidR="003A3D90" w:rsidRPr="003D5B4E">
        <w:rPr>
          <w:rFonts w:ascii="Times New Roman" w:hAnsi="Times New Roman" w:cs="Times New Roman"/>
          <w:sz w:val="24"/>
          <w:szCs w:val="24"/>
        </w:rPr>
        <w:t xml:space="preserve"> </w:t>
      </w:r>
      <w:r w:rsidR="00E93FB1" w:rsidRPr="003D5B4E">
        <w:rPr>
          <w:rFonts w:ascii="Times New Roman" w:hAnsi="Times New Roman" w:cs="Times New Roman"/>
          <w:sz w:val="24"/>
          <w:szCs w:val="24"/>
        </w:rPr>
        <w:t xml:space="preserve">emphasize that given to the managers’ authoritative roles, they bear the </w:t>
      </w:r>
      <w:r w:rsidR="00E93FB1" w:rsidRPr="003D5B4E">
        <w:rPr>
          <w:rFonts w:ascii="Times New Roman" w:hAnsi="Times New Roman" w:cs="Times New Roman"/>
          <w:sz w:val="24"/>
          <w:szCs w:val="24"/>
        </w:rPr>
        <w:lastRenderedPageBreak/>
        <w:t xml:space="preserve">primary responsibility for shaping organizational norms and climate. This responsibility </w:t>
      </w:r>
      <w:r w:rsidR="00DB5DC3" w:rsidRPr="003D5B4E">
        <w:rPr>
          <w:rFonts w:ascii="Times New Roman" w:hAnsi="Times New Roman" w:cs="Times New Roman"/>
          <w:sz w:val="24"/>
          <w:szCs w:val="24"/>
        </w:rPr>
        <w:t>cannot</w:t>
      </w:r>
      <w:r w:rsidR="00E93FB1" w:rsidRPr="003D5B4E">
        <w:rPr>
          <w:rFonts w:ascii="Times New Roman" w:hAnsi="Times New Roman" w:cs="Times New Roman"/>
          <w:sz w:val="24"/>
          <w:szCs w:val="24"/>
        </w:rPr>
        <w:t xml:space="preserve"> be relinquished or delegated to others because employees naturally observe and follow the lead of authorities in adhering to the stated norms that define the organizational climate. Therefore, we propose that </w:t>
      </w:r>
      <w:r w:rsidR="00F007B6" w:rsidRPr="003D5B4E">
        <w:rPr>
          <w:rFonts w:ascii="Times New Roman" w:hAnsi="Times New Roman" w:cs="Times New Roman"/>
          <w:sz w:val="24"/>
          <w:szCs w:val="24"/>
        </w:rPr>
        <w:t xml:space="preserve">this tone from the top needs to be added to the framework. </w:t>
      </w:r>
      <w:r w:rsidR="009E6117" w:rsidRPr="003D5B4E">
        <w:rPr>
          <w:rFonts w:ascii="Times New Roman" w:hAnsi="Times New Roman" w:cs="Times New Roman"/>
          <w:sz w:val="24"/>
          <w:szCs w:val="24"/>
        </w:rPr>
        <w:t xml:space="preserve">Scholars suggest that </w:t>
      </w:r>
      <w:r w:rsidR="00262528" w:rsidRPr="003D5B4E">
        <w:rPr>
          <w:rFonts w:ascii="Times New Roman" w:hAnsi="Times New Roman" w:cs="Times New Roman"/>
          <w:sz w:val="24"/>
          <w:szCs w:val="24"/>
        </w:rPr>
        <w:t xml:space="preserve">victims may not report incidents of </w:t>
      </w:r>
      <w:r w:rsidR="00103072" w:rsidRPr="003D5B4E">
        <w:rPr>
          <w:rFonts w:ascii="Times New Roman" w:hAnsi="Times New Roman" w:cs="Times New Roman"/>
          <w:sz w:val="24"/>
          <w:szCs w:val="24"/>
        </w:rPr>
        <w:t>SH</w:t>
      </w:r>
      <w:r w:rsidR="00262528" w:rsidRPr="003D5B4E">
        <w:rPr>
          <w:rFonts w:ascii="Times New Roman" w:hAnsi="Times New Roman" w:cs="Times New Roman"/>
          <w:sz w:val="24"/>
          <w:szCs w:val="24"/>
        </w:rPr>
        <w:t xml:space="preserve"> because they believe the harasser will not face consequences</w:t>
      </w:r>
      <w:r w:rsidR="009E6117" w:rsidRPr="003D5B4E">
        <w:rPr>
          <w:rFonts w:ascii="Times New Roman" w:hAnsi="Times New Roman" w:cs="Times New Roman"/>
          <w:sz w:val="24"/>
          <w:szCs w:val="24"/>
        </w:rPr>
        <w:t xml:space="preserve"> (Fielden et al., 2010; Hayes, 2004).</w:t>
      </w:r>
      <w:r w:rsidR="00262528" w:rsidRPr="003D5B4E">
        <w:rPr>
          <w:rFonts w:ascii="Times New Roman" w:hAnsi="Times New Roman" w:cs="Times New Roman"/>
          <w:sz w:val="24"/>
          <w:szCs w:val="24"/>
        </w:rPr>
        <w:t xml:space="preserve"> We argue that a zero-tolerance policy towards </w:t>
      </w:r>
      <w:r w:rsidR="00103072" w:rsidRPr="003D5B4E">
        <w:rPr>
          <w:rFonts w:ascii="Times New Roman" w:hAnsi="Times New Roman" w:cs="Times New Roman"/>
          <w:sz w:val="24"/>
          <w:szCs w:val="24"/>
        </w:rPr>
        <w:t>SH</w:t>
      </w:r>
      <w:r w:rsidR="00262528" w:rsidRPr="003D5B4E">
        <w:rPr>
          <w:rFonts w:ascii="Times New Roman" w:hAnsi="Times New Roman" w:cs="Times New Roman"/>
          <w:sz w:val="24"/>
          <w:szCs w:val="24"/>
        </w:rPr>
        <w:t xml:space="preserve"> and clear communication of the consequences of any incidents will encourage reporting.</w:t>
      </w:r>
      <w:r w:rsidR="009E6117" w:rsidRPr="003D5B4E">
        <w:rPr>
          <w:rFonts w:ascii="Times New Roman" w:hAnsi="Times New Roman" w:cs="Times New Roman"/>
          <w:sz w:val="24"/>
          <w:szCs w:val="24"/>
        </w:rPr>
        <w:t xml:space="preserve"> </w:t>
      </w:r>
      <w:r w:rsidR="00262528" w:rsidRPr="003D5B4E">
        <w:rPr>
          <w:rFonts w:ascii="Times New Roman" w:hAnsi="Times New Roman" w:cs="Times New Roman"/>
          <w:sz w:val="24"/>
          <w:szCs w:val="24"/>
        </w:rPr>
        <w:t>Additionally, organizations</w:t>
      </w:r>
      <w:r w:rsidR="00F007B6" w:rsidRPr="003D5B4E">
        <w:rPr>
          <w:rFonts w:ascii="Times New Roman" w:hAnsi="Times New Roman" w:cs="Times New Roman"/>
          <w:sz w:val="24"/>
          <w:szCs w:val="24"/>
        </w:rPr>
        <w:t xml:space="preserve"> </w:t>
      </w:r>
      <w:r w:rsidR="00DE32F7" w:rsidRPr="003D5B4E">
        <w:rPr>
          <w:rFonts w:ascii="Times New Roman" w:hAnsi="Times New Roman" w:cs="Times New Roman"/>
          <w:sz w:val="24"/>
          <w:szCs w:val="24"/>
        </w:rPr>
        <w:t xml:space="preserve">should position themselves after complaints have been resolved and communicate any consequences while protecting victims. This demonstrates the absence of organizational tolerance for </w:t>
      </w:r>
      <w:r w:rsidR="00103072" w:rsidRPr="003D5B4E">
        <w:rPr>
          <w:rFonts w:ascii="Times New Roman" w:hAnsi="Times New Roman" w:cs="Times New Roman"/>
          <w:sz w:val="24"/>
          <w:szCs w:val="24"/>
        </w:rPr>
        <w:t>SH</w:t>
      </w:r>
      <w:r w:rsidR="00DE32F7" w:rsidRPr="003D5B4E">
        <w:rPr>
          <w:rFonts w:ascii="Times New Roman" w:hAnsi="Times New Roman" w:cs="Times New Roman"/>
          <w:sz w:val="24"/>
          <w:szCs w:val="24"/>
        </w:rPr>
        <w:t xml:space="preserve"> and reassures victims to report incidents. One important addition that we propose is the involvement of bystanders. Scholars argue th</w:t>
      </w:r>
      <w:r w:rsidR="00412994" w:rsidRPr="003D5B4E">
        <w:rPr>
          <w:rFonts w:ascii="Times New Roman" w:hAnsi="Times New Roman" w:cs="Times New Roman"/>
          <w:sz w:val="24"/>
          <w:szCs w:val="24"/>
        </w:rPr>
        <w:t xml:space="preserve">at bystander intervention </w:t>
      </w:r>
      <w:r w:rsidR="004E5736" w:rsidRPr="003D5B4E">
        <w:rPr>
          <w:rFonts w:ascii="Times New Roman" w:hAnsi="Times New Roman" w:cs="Times New Roman"/>
          <w:sz w:val="24"/>
          <w:szCs w:val="24"/>
        </w:rPr>
        <w:t xml:space="preserve">is a crucial factor in shaping organizational tolerance for </w:t>
      </w:r>
      <w:r w:rsidR="00103072" w:rsidRPr="003D5B4E">
        <w:rPr>
          <w:rFonts w:ascii="Times New Roman" w:hAnsi="Times New Roman" w:cs="Times New Roman"/>
          <w:sz w:val="24"/>
          <w:szCs w:val="24"/>
        </w:rPr>
        <w:t>SH</w:t>
      </w:r>
      <w:r w:rsidR="004E5736" w:rsidRPr="003D5B4E">
        <w:rPr>
          <w:rFonts w:ascii="Times New Roman" w:hAnsi="Times New Roman" w:cs="Times New Roman"/>
          <w:sz w:val="24"/>
          <w:szCs w:val="24"/>
        </w:rPr>
        <w:t xml:space="preserve"> and promoting reporting of incidents (</w:t>
      </w:r>
      <w:r w:rsidR="009B1D72" w:rsidRPr="003D5B4E">
        <w:rPr>
          <w:rFonts w:ascii="Times New Roman" w:hAnsi="Times New Roman" w:cs="Times New Roman"/>
          <w:sz w:val="24"/>
          <w:szCs w:val="24"/>
        </w:rPr>
        <w:t xml:space="preserve">e.g., McDonald et al., 2016; </w:t>
      </w:r>
      <w:r w:rsidR="004E5736" w:rsidRPr="003D5B4E">
        <w:rPr>
          <w:rFonts w:ascii="Times New Roman" w:hAnsi="Times New Roman" w:cs="Times New Roman"/>
          <w:sz w:val="24"/>
          <w:szCs w:val="24"/>
        </w:rPr>
        <w:t>Bowes-Sperry &amp; O’Leary-Kelly, 2005</w:t>
      </w:r>
      <w:r w:rsidR="009B1D72" w:rsidRPr="003D5B4E">
        <w:rPr>
          <w:rFonts w:ascii="Times New Roman" w:hAnsi="Times New Roman" w:cs="Times New Roman"/>
          <w:sz w:val="24"/>
          <w:szCs w:val="24"/>
        </w:rPr>
        <w:t>)</w:t>
      </w:r>
      <w:r w:rsidR="004E5736" w:rsidRPr="003D5B4E">
        <w:rPr>
          <w:rFonts w:ascii="Times New Roman" w:hAnsi="Times New Roman" w:cs="Times New Roman"/>
          <w:sz w:val="24"/>
          <w:szCs w:val="24"/>
        </w:rPr>
        <w:t>.</w:t>
      </w:r>
      <w:r w:rsidR="009B1D72" w:rsidRPr="003D5B4E">
        <w:rPr>
          <w:rFonts w:ascii="Times New Roman" w:hAnsi="Times New Roman" w:cs="Times New Roman"/>
          <w:sz w:val="24"/>
          <w:szCs w:val="24"/>
        </w:rPr>
        <w:t xml:space="preserve"> </w:t>
      </w:r>
      <w:r w:rsidR="00664555" w:rsidRPr="003D5B4E">
        <w:rPr>
          <w:rFonts w:ascii="Times New Roman" w:hAnsi="Times New Roman" w:cs="Times New Roman"/>
          <w:sz w:val="24"/>
          <w:szCs w:val="24"/>
        </w:rPr>
        <w:t xml:space="preserve">Incorporating bystander intervention training can yield various advantages at both the organizational and individual levels. This includes reducing the organization’s perceived tolerance for </w:t>
      </w:r>
      <w:r w:rsidR="00103072" w:rsidRPr="003D5B4E">
        <w:rPr>
          <w:rFonts w:ascii="Times New Roman" w:hAnsi="Times New Roman" w:cs="Times New Roman"/>
          <w:sz w:val="24"/>
          <w:szCs w:val="24"/>
        </w:rPr>
        <w:t>SH</w:t>
      </w:r>
      <w:r w:rsidR="00664555" w:rsidRPr="003D5B4E">
        <w:rPr>
          <w:rFonts w:ascii="Times New Roman" w:hAnsi="Times New Roman" w:cs="Times New Roman"/>
          <w:sz w:val="24"/>
          <w:szCs w:val="24"/>
        </w:rPr>
        <w:t xml:space="preserve">, enhancing the level of moral intensity, fostering a better understanding of </w:t>
      </w:r>
      <w:r w:rsidR="00103072" w:rsidRPr="003D5B4E">
        <w:rPr>
          <w:rFonts w:ascii="Times New Roman" w:hAnsi="Times New Roman" w:cs="Times New Roman"/>
          <w:sz w:val="24"/>
          <w:szCs w:val="24"/>
        </w:rPr>
        <w:t>SH</w:t>
      </w:r>
      <w:r w:rsidR="00664555" w:rsidRPr="003D5B4E">
        <w:rPr>
          <w:rFonts w:ascii="Times New Roman" w:hAnsi="Times New Roman" w:cs="Times New Roman"/>
          <w:sz w:val="24"/>
          <w:szCs w:val="24"/>
        </w:rPr>
        <w:t>, and increasing awareness among potential perpetrators about their behaviors (Lee et al., 2019).</w:t>
      </w:r>
      <w:r w:rsidR="00F077EA" w:rsidRPr="003D5B4E">
        <w:rPr>
          <w:rFonts w:ascii="Times New Roman" w:hAnsi="Times New Roman" w:cs="Times New Roman"/>
          <w:sz w:val="24"/>
          <w:szCs w:val="24"/>
        </w:rPr>
        <w:t xml:space="preserve"> Atwater et al. (2021) argue that managers should avoid the inclination to hire fewer women, recognizing that excluding women is not a viable solution to mitigate workplace </w:t>
      </w:r>
      <w:r w:rsidR="00103072" w:rsidRPr="003D5B4E">
        <w:rPr>
          <w:rFonts w:ascii="Times New Roman" w:hAnsi="Times New Roman" w:cs="Times New Roman"/>
          <w:sz w:val="24"/>
          <w:szCs w:val="24"/>
        </w:rPr>
        <w:t>SH</w:t>
      </w:r>
      <w:r w:rsidR="00F077EA" w:rsidRPr="003D5B4E">
        <w:rPr>
          <w:rFonts w:ascii="Times New Roman" w:hAnsi="Times New Roman" w:cs="Times New Roman"/>
          <w:sz w:val="24"/>
          <w:szCs w:val="24"/>
        </w:rPr>
        <w:t xml:space="preserve">. Instead, it is crucial to explore ways to delve deeper into an individual’s character during the selection process. While organizations typically focus on competencies and past achievements when hiring, it’s important to acknowledge that organizations often terminate employees due to character flaws. Therefore, competencies alone are necessary but insufficient, and there is a need to address character traits as well (Sturm et al., 2017). We </w:t>
      </w:r>
      <w:r w:rsidR="00A0357D" w:rsidRPr="003D5B4E">
        <w:rPr>
          <w:rFonts w:ascii="Times New Roman" w:hAnsi="Times New Roman" w:cs="Times New Roman"/>
          <w:sz w:val="24"/>
          <w:szCs w:val="24"/>
        </w:rPr>
        <w:t>agree with</w:t>
      </w:r>
      <w:r w:rsidR="00F077EA" w:rsidRPr="003D5B4E">
        <w:rPr>
          <w:rFonts w:ascii="Times New Roman" w:hAnsi="Times New Roman" w:cs="Times New Roman"/>
          <w:sz w:val="24"/>
          <w:szCs w:val="24"/>
        </w:rPr>
        <w:t xml:space="preserve"> this </w:t>
      </w:r>
      <w:r w:rsidR="00A0357D" w:rsidRPr="003D5B4E">
        <w:rPr>
          <w:rFonts w:ascii="Times New Roman" w:hAnsi="Times New Roman" w:cs="Times New Roman"/>
          <w:sz w:val="24"/>
          <w:szCs w:val="24"/>
        </w:rPr>
        <w:t>argument</w:t>
      </w:r>
      <w:r w:rsidR="00F077EA" w:rsidRPr="003D5B4E">
        <w:rPr>
          <w:rFonts w:ascii="Times New Roman" w:hAnsi="Times New Roman" w:cs="Times New Roman"/>
          <w:sz w:val="24"/>
          <w:szCs w:val="24"/>
        </w:rPr>
        <w:t xml:space="preserve"> and </w:t>
      </w:r>
      <w:r w:rsidR="00A0357D" w:rsidRPr="003D5B4E">
        <w:rPr>
          <w:rFonts w:ascii="Times New Roman" w:hAnsi="Times New Roman" w:cs="Times New Roman"/>
          <w:sz w:val="24"/>
          <w:szCs w:val="24"/>
        </w:rPr>
        <w:t>suggest incorporating</w:t>
      </w:r>
      <w:r w:rsidR="00F077EA" w:rsidRPr="003D5B4E">
        <w:rPr>
          <w:rFonts w:ascii="Times New Roman" w:hAnsi="Times New Roman" w:cs="Times New Roman"/>
          <w:sz w:val="24"/>
          <w:szCs w:val="24"/>
        </w:rPr>
        <w:t xml:space="preserve"> character-based hiring methods into </w:t>
      </w:r>
      <w:r w:rsidR="00A0357D" w:rsidRPr="003D5B4E">
        <w:rPr>
          <w:rFonts w:ascii="Times New Roman" w:hAnsi="Times New Roman" w:cs="Times New Roman"/>
          <w:sz w:val="24"/>
          <w:szCs w:val="24"/>
        </w:rPr>
        <w:t xml:space="preserve">the </w:t>
      </w:r>
      <w:r w:rsidR="00F077EA" w:rsidRPr="003D5B4E">
        <w:rPr>
          <w:rFonts w:ascii="Times New Roman" w:hAnsi="Times New Roman" w:cs="Times New Roman"/>
          <w:sz w:val="24"/>
          <w:szCs w:val="24"/>
        </w:rPr>
        <w:t xml:space="preserve">selection </w:t>
      </w:r>
      <w:r w:rsidR="00A0357D" w:rsidRPr="003D5B4E">
        <w:rPr>
          <w:rFonts w:ascii="Times New Roman" w:hAnsi="Times New Roman" w:cs="Times New Roman"/>
          <w:sz w:val="24"/>
          <w:szCs w:val="24"/>
        </w:rPr>
        <w:t xml:space="preserve">process. </w:t>
      </w:r>
      <w:r w:rsidR="00777657" w:rsidRPr="003D5B4E">
        <w:rPr>
          <w:rFonts w:ascii="Times New Roman" w:hAnsi="Times New Roman" w:cs="Times New Roman"/>
          <w:sz w:val="24"/>
          <w:szCs w:val="24"/>
        </w:rPr>
        <w:t>Finally</w:t>
      </w:r>
      <w:r w:rsidR="00A0357D" w:rsidRPr="003D5B4E">
        <w:rPr>
          <w:rFonts w:ascii="Times New Roman" w:hAnsi="Times New Roman" w:cs="Times New Roman"/>
          <w:sz w:val="24"/>
          <w:szCs w:val="24"/>
        </w:rPr>
        <w:t xml:space="preserve">, the </w:t>
      </w:r>
      <w:r w:rsidR="00A0357D" w:rsidRPr="003D5B4E">
        <w:rPr>
          <w:rFonts w:ascii="Times New Roman" w:hAnsi="Times New Roman" w:cs="Times New Roman"/>
          <w:sz w:val="24"/>
          <w:szCs w:val="24"/>
        </w:rPr>
        <w:lastRenderedPageBreak/>
        <w:t xml:space="preserve">U.S. Equal Employment Opportunity Commission (EEOC) suggests safeguarding the safety of complainants (Title VII, 29 CFR Part 1604, 29 CFR Part 1605, 29 CFR Part 1606). The act </w:t>
      </w:r>
      <w:r w:rsidR="00777657" w:rsidRPr="003D5B4E">
        <w:rPr>
          <w:rFonts w:ascii="Times New Roman" w:hAnsi="Times New Roman" w:cs="Times New Roman"/>
          <w:sz w:val="24"/>
          <w:szCs w:val="24"/>
        </w:rPr>
        <w:t>aims to protect</w:t>
      </w:r>
      <w:r w:rsidR="00A0357D" w:rsidRPr="003D5B4E">
        <w:rPr>
          <w:rFonts w:ascii="Times New Roman" w:hAnsi="Times New Roman" w:cs="Times New Roman"/>
          <w:sz w:val="24"/>
          <w:szCs w:val="24"/>
        </w:rPr>
        <w:t xml:space="preserve"> the confidentiality of harassment complaints to the </w:t>
      </w:r>
      <w:r w:rsidR="00777657" w:rsidRPr="003D5B4E">
        <w:rPr>
          <w:rFonts w:ascii="Times New Roman" w:hAnsi="Times New Roman" w:cs="Times New Roman"/>
          <w:sz w:val="24"/>
          <w:szCs w:val="24"/>
        </w:rPr>
        <w:t xml:space="preserve">fullest </w:t>
      </w:r>
      <w:r w:rsidR="00A0357D" w:rsidRPr="003D5B4E">
        <w:rPr>
          <w:rFonts w:ascii="Times New Roman" w:hAnsi="Times New Roman" w:cs="Times New Roman"/>
          <w:sz w:val="24"/>
          <w:szCs w:val="24"/>
        </w:rPr>
        <w:t>extent possible</w:t>
      </w:r>
      <w:r w:rsidR="00777657" w:rsidRPr="003D5B4E">
        <w:rPr>
          <w:rFonts w:ascii="Times New Roman" w:hAnsi="Times New Roman" w:cs="Times New Roman"/>
          <w:sz w:val="24"/>
          <w:szCs w:val="24"/>
        </w:rPr>
        <w:t xml:space="preserve"> and ensure that complainants are protected from any form of retaliation. </w:t>
      </w:r>
    </w:p>
    <w:p w14:paraId="15AE2C86" w14:textId="77777777" w:rsidR="00AF5F24" w:rsidRPr="00777657" w:rsidRDefault="00777657" w:rsidP="00AF5F24">
      <w:pPr>
        <w:spacing w:line="240" w:lineRule="auto"/>
        <w:jc w:val="both"/>
        <w:rPr>
          <w:rFonts w:ascii="Times New Roman" w:hAnsi="Times New Roman" w:cs="Times New Roman"/>
        </w:rPr>
      </w:pPr>
      <w:r>
        <w:rPr>
          <w:rFonts w:ascii="Times New Roman" w:hAnsi="Times New Roman" w:cs="Times New Roman"/>
          <w:sz w:val="24"/>
          <w:szCs w:val="24"/>
        </w:rPr>
        <w:br w:type="page"/>
      </w:r>
      <w:r w:rsidR="00AF5F24" w:rsidRPr="00AF5F24">
        <w:rPr>
          <w:rFonts w:ascii="Times New Roman" w:hAnsi="Times New Roman" w:cs="Times New Roman"/>
          <w:sz w:val="24"/>
          <w:szCs w:val="24"/>
        </w:rPr>
        <w:lastRenderedPageBreak/>
        <w:t>Table 1 Framework of effective prevention and response strategies in workplace sexual harassment in accordance with McDonald et al., 2015, p.50</w:t>
      </w:r>
      <w:r w:rsidR="00AF5F24" w:rsidRPr="00777657">
        <w:rPr>
          <w:rFonts w:ascii="Times New Roman" w:hAnsi="Times New Roman" w:cs="Times New Roman"/>
        </w:rPr>
        <w:t xml:space="preserve">; </w:t>
      </w:r>
      <w:r w:rsidR="00AF5F24" w:rsidRPr="005D51BD">
        <w:rPr>
          <w:rFonts w:ascii="Times New Roman" w:hAnsi="Times New Roman" w:cs="Times New Roman"/>
        </w:rPr>
        <w:t>added aspects in bold font</w:t>
      </w:r>
    </w:p>
    <w:tbl>
      <w:tblPr>
        <w:tblStyle w:val="Tabellenraster"/>
        <w:tblW w:w="5000" w:type="pct"/>
        <w:tblLook w:val="04A0" w:firstRow="1" w:lastRow="0" w:firstColumn="1" w:lastColumn="0" w:noHBand="0" w:noVBand="1"/>
      </w:tblPr>
      <w:tblGrid>
        <w:gridCol w:w="505"/>
        <w:gridCol w:w="1475"/>
        <w:gridCol w:w="2364"/>
        <w:gridCol w:w="2364"/>
        <w:gridCol w:w="2362"/>
      </w:tblGrid>
      <w:tr w:rsidR="00065664" w14:paraId="20FD1909" w14:textId="77777777" w:rsidTr="00065664">
        <w:tc>
          <w:tcPr>
            <w:tcW w:w="279" w:type="pct"/>
            <w:tcBorders>
              <w:top w:val="nil"/>
              <w:left w:val="nil"/>
              <w:bottom w:val="nil"/>
              <w:right w:val="nil"/>
            </w:tcBorders>
          </w:tcPr>
          <w:p w14:paraId="525B9436" w14:textId="77777777" w:rsidR="00065664" w:rsidRPr="00C4014A" w:rsidRDefault="00065664" w:rsidP="00B223FB">
            <w:pPr>
              <w:spacing w:line="360" w:lineRule="auto"/>
              <w:jc w:val="both"/>
              <w:rPr>
                <w:rFonts w:ascii="Times New Roman" w:hAnsi="Times New Roman" w:cs="Times New Roman"/>
              </w:rPr>
            </w:pPr>
          </w:p>
        </w:tc>
        <w:tc>
          <w:tcPr>
            <w:tcW w:w="813" w:type="pct"/>
            <w:tcBorders>
              <w:top w:val="nil"/>
              <w:left w:val="nil"/>
              <w:bottom w:val="nil"/>
              <w:right w:val="nil"/>
            </w:tcBorders>
          </w:tcPr>
          <w:p w14:paraId="1E51BF93" w14:textId="77777777" w:rsidR="00065664" w:rsidRPr="00C4014A" w:rsidRDefault="00065664" w:rsidP="00B223FB">
            <w:pPr>
              <w:spacing w:line="360" w:lineRule="auto"/>
              <w:jc w:val="both"/>
              <w:rPr>
                <w:rFonts w:ascii="Times New Roman" w:hAnsi="Times New Roman" w:cs="Times New Roman"/>
              </w:rPr>
            </w:pPr>
          </w:p>
        </w:tc>
        <w:tc>
          <w:tcPr>
            <w:tcW w:w="3908" w:type="pct"/>
            <w:gridSpan w:val="3"/>
            <w:tcBorders>
              <w:top w:val="nil"/>
              <w:left w:val="nil"/>
              <w:bottom w:val="single" w:sz="4" w:space="0" w:color="auto"/>
              <w:right w:val="nil"/>
            </w:tcBorders>
          </w:tcPr>
          <w:p w14:paraId="0C367A43" w14:textId="24980E45" w:rsidR="00065664" w:rsidRPr="00C4014A" w:rsidRDefault="00065664" w:rsidP="00065664">
            <w:pPr>
              <w:spacing w:line="360" w:lineRule="auto"/>
              <w:jc w:val="center"/>
              <w:rPr>
                <w:rFonts w:ascii="Times New Roman" w:hAnsi="Times New Roman" w:cs="Times New Roman"/>
              </w:rPr>
            </w:pPr>
            <w:r w:rsidRPr="00C4014A">
              <w:rPr>
                <w:rFonts w:ascii="Times New Roman" w:hAnsi="Times New Roman" w:cs="Times New Roman"/>
              </w:rPr>
              <w:t>Timing</w:t>
            </w:r>
          </w:p>
        </w:tc>
      </w:tr>
      <w:tr w:rsidR="00065664" w14:paraId="6B08D2CE" w14:textId="77777777" w:rsidTr="00777657">
        <w:tc>
          <w:tcPr>
            <w:tcW w:w="279" w:type="pct"/>
            <w:vMerge w:val="restart"/>
            <w:tcBorders>
              <w:top w:val="nil"/>
              <w:left w:val="nil"/>
              <w:bottom w:val="nil"/>
              <w:right w:val="nil"/>
            </w:tcBorders>
            <w:textDirection w:val="btLr"/>
          </w:tcPr>
          <w:p w14:paraId="411F105C" w14:textId="39F62FFE" w:rsidR="00065664" w:rsidRPr="00C4014A" w:rsidRDefault="00065664" w:rsidP="00C4014A">
            <w:pPr>
              <w:ind w:left="113" w:right="113"/>
              <w:jc w:val="center"/>
              <w:rPr>
                <w:rFonts w:ascii="Times New Roman" w:hAnsi="Times New Roman" w:cs="Times New Roman"/>
              </w:rPr>
            </w:pPr>
            <w:r w:rsidRPr="00C4014A">
              <w:rPr>
                <w:rFonts w:ascii="Times New Roman" w:hAnsi="Times New Roman" w:cs="Times New Roman"/>
              </w:rPr>
              <w:t>Function</w:t>
            </w:r>
          </w:p>
        </w:tc>
        <w:tc>
          <w:tcPr>
            <w:tcW w:w="813" w:type="pct"/>
            <w:tcBorders>
              <w:top w:val="nil"/>
              <w:left w:val="nil"/>
            </w:tcBorders>
          </w:tcPr>
          <w:p w14:paraId="5FC36B04" w14:textId="3FEC59E0" w:rsidR="00065664" w:rsidRPr="00C4014A" w:rsidRDefault="00065664" w:rsidP="00B223FB">
            <w:pPr>
              <w:spacing w:line="360" w:lineRule="auto"/>
              <w:jc w:val="both"/>
              <w:rPr>
                <w:rFonts w:ascii="Times New Roman" w:hAnsi="Times New Roman" w:cs="Times New Roman"/>
              </w:rPr>
            </w:pPr>
          </w:p>
        </w:tc>
        <w:tc>
          <w:tcPr>
            <w:tcW w:w="1303" w:type="pct"/>
            <w:tcBorders>
              <w:top w:val="single" w:sz="4" w:space="0" w:color="auto"/>
            </w:tcBorders>
          </w:tcPr>
          <w:p w14:paraId="66ED713C" w14:textId="0C429713" w:rsidR="00065664" w:rsidRPr="00C4014A" w:rsidRDefault="00065664" w:rsidP="00065664">
            <w:pPr>
              <w:spacing w:line="360" w:lineRule="auto"/>
              <w:jc w:val="center"/>
              <w:rPr>
                <w:rFonts w:ascii="Times New Roman" w:hAnsi="Times New Roman" w:cs="Times New Roman"/>
              </w:rPr>
            </w:pPr>
            <w:r w:rsidRPr="00C4014A">
              <w:rPr>
                <w:rFonts w:ascii="Times New Roman" w:hAnsi="Times New Roman" w:cs="Times New Roman"/>
              </w:rPr>
              <w:t>Primary</w:t>
            </w:r>
          </w:p>
        </w:tc>
        <w:tc>
          <w:tcPr>
            <w:tcW w:w="1303" w:type="pct"/>
            <w:tcBorders>
              <w:top w:val="single" w:sz="4" w:space="0" w:color="auto"/>
            </w:tcBorders>
          </w:tcPr>
          <w:p w14:paraId="3E1E0382" w14:textId="3BCEEA0B" w:rsidR="00065664" w:rsidRPr="00C4014A" w:rsidRDefault="00065664" w:rsidP="00065664">
            <w:pPr>
              <w:spacing w:line="360" w:lineRule="auto"/>
              <w:jc w:val="center"/>
              <w:rPr>
                <w:rFonts w:ascii="Times New Roman" w:hAnsi="Times New Roman" w:cs="Times New Roman"/>
              </w:rPr>
            </w:pPr>
            <w:r w:rsidRPr="00C4014A">
              <w:rPr>
                <w:rFonts w:ascii="Times New Roman" w:hAnsi="Times New Roman" w:cs="Times New Roman"/>
              </w:rPr>
              <w:t>Secondary</w:t>
            </w:r>
          </w:p>
        </w:tc>
        <w:tc>
          <w:tcPr>
            <w:tcW w:w="1302" w:type="pct"/>
            <w:tcBorders>
              <w:top w:val="single" w:sz="4" w:space="0" w:color="auto"/>
            </w:tcBorders>
          </w:tcPr>
          <w:p w14:paraId="20795D9B" w14:textId="4DE0F90A" w:rsidR="00065664" w:rsidRPr="00C4014A" w:rsidRDefault="00065664" w:rsidP="00065664">
            <w:pPr>
              <w:spacing w:line="360" w:lineRule="auto"/>
              <w:jc w:val="center"/>
              <w:rPr>
                <w:rFonts w:ascii="Times New Roman" w:hAnsi="Times New Roman" w:cs="Times New Roman"/>
              </w:rPr>
            </w:pPr>
            <w:r w:rsidRPr="00C4014A">
              <w:rPr>
                <w:rFonts w:ascii="Times New Roman" w:hAnsi="Times New Roman" w:cs="Times New Roman"/>
              </w:rPr>
              <w:t>Tertiary</w:t>
            </w:r>
          </w:p>
        </w:tc>
      </w:tr>
      <w:tr w:rsidR="00065664" w14:paraId="6B55E60F" w14:textId="77777777" w:rsidTr="00777657">
        <w:tc>
          <w:tcPr>
            <w:tcW w:w="279" w:type="pct"/>
            <w:vMerge/>
            <w:tcBorders>
              <w:top w:val="nil"/>
              <w:left w:val="nil"/>
              <w:bottom w:val="nil"/>
              <w:right w:val="single" w:sz="4" w:space="0" w:color="auto"/>
            </w:tcBorders>
          </w:tcPr>
          <w:p w14:paraId="26EDEBA5" w14:textId="77777777" w:rsidR="00065664" w:rsidRPr="00C4014A" w:rsidRDefault="00065664" w:rsidP="00B223FB">
            <w:pPr>
              <w:spacing w:line="360" w:lineRule="auto"/>
              <w:jc w:val="both"/>
              <w:rPr>
                <w:rFonts w:ascii="Times New Roman" w:hAnsi="Times New Roman" w:cs="Times New Roman"/>
              </w:rPr>
            </w:pPr>
          </w:p>
        </w:tc>
        <w:tc>
          <w:tcPr>
            <w:tcW w:w="813" w:type="pct"/>
            <w:tcBorders>
              <w:left w:val="single" w:sz="4" w:space="0" w:color="auto"/>
            </w:tcBorders>
          </w:tcPr>
          <w:p w14:paraId="1075D423" w14:textId="3976D225" w:rsidR="00065664" w:rsidRPr="00C4014A" w:rsidRDefault="00065664" w:rsidP="00B223FB">
            <w:pPr>
              <w:spacing w:line="360" w:lineRule="auto"/>
              <w:jc w:val="both"/>
              <w:rPr>
                <w:rFonts w:ascii="Times New Roman" w:hAnsi="Times New Roman" w:cs="Times New Roman"/>
              </w:rPr>
            </w:pPr>
            <w:r w:rsidRPr="00C4014A">
              <w:rPr>
                <w:rFonts w:ascii="Times New Roman" w:hAnsi="Times New Roman" w:cs="Times New Roman"/>
              </w:rPr>
              <w:t>Message</w:t>
            </w:r>
          </w:p>
        </w:tc>
        <w:tc>
          <w:tcPr>
            <w:tcW w:w="1303" w:type="pct"/>
          </w:tcPr>
          <w:p w14:paraId="2F406A86" w14:textId="0CB093B1"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 xml:space="preserve">Clear statement of intent to prevent </w:t>
            </w:r>
            <w:r w:rsidR="00103072">
              <w:rPr>
                <w:rFonts w:ascii="Times New Roman" w:hAnsi="Times New Roman" w:cs="Times New Roman"/>
              </w:rPr>
              <w:t>SH</w:t>
            </w:r>
            <w:r w:rsidRPr="00C4014A">
              <w:rPr>
                <w:rFonts w:ascii="Times New Roman" w:hAnsi="Times New Roman" w:cs="Times New Roman"/>
              </w:rPr>
              <w:t xml:space="preserve"> in organizational policy</w:t>
            </w:r>
          </w:p>
          <w:p w14:paraId="54F9D7BD" w14:textId="77777777"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Communicate defined wrongdoing</w:t>
            </w:r>
          </w:p>
          <w:p w14:paraId="24C61FFE" w14:textId="2AE776C1"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 xml:space="preserve">Clarify </w:t>
            </w:r>
            <w:r w:rsidR="00DB5DC3" w:rsidRPr="00C4014A">
              <w:rPr>
                <w:rFonts w:ascii="Times New Roman" w:hAnsi="Times New Roman" w:cs="Times New Roman"/>
              </w:rPr>
              <w:t>misconceptions,</w:t>
            </w:r>
            <w:r w:rsidRPr="00C4014A">
              <w:rPr>
                <w:rFonts w:ascii="Times New Roman" w:hAnsi="Times New Roman" w:cs="Times New Roman"/>
              </w:rPr>
              <w:t xml:space="preserve"> challenge gendered cultures in training</w:t>
            </w:r>
          </w:p>
          <w:p w14:paraId="3A211227" w14:textId="4936390B" w:rsidR="00F007B6" w:rsidRPr="00C4014A" w:rsidRDefault="00F007B6"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b/>
                <w:bCs/>
              </w:rPr>
              <w:t xml:space="preserve">Establish a tone from the top that does not tolerate </w:t>
            </w:r>
            <w:r w:rsidR="00103072">
              <w:rPr>
                <w:rFonts w:ascii="Times New Roman" w:hAnsi="Times New Roman" w:cs="Times New Roman"/>
                <w:b/>
                <w:bCs/>
              </w:rPr>
              <w:t>SH</w:t>
            </w:r>
          </w:p>
          <w:p w14:paraId="1358093A" w14:textId="23D2A64F" w:rsidR="00DE32F7" w:rsidRPr="00C4014A" w:rsidRDefault="00DE32F7"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b/>
                <w:bCs/>
              </w:rPr>
              <w:t xml:space="preserve">Communicate a zero-tolerance policy for </w:t>
            </w:r>
            <w:r w:rsidR="00103072">
              <w:rPr>
                <w:rFonts w:ascii="Times New Roman" w:hAnsi="Times New Roman" w:cs="Times New Roman"/>
                <w:b/>
                <w:bCs/>
              </w:rPr>
              <w:t>SH</w:t>
            </w:r>
            <w:r w:rsidRPr="00C4014A">
              <w:rPr>
                <w:rFonts w:ascii="Times New Roman" w:hAnsi="Times New Roman" w:cs="Times New Roman"/>
                <w:b/>
                <w:bCs/>
              </w:rPr>
              <w:t xml:space="preserve"> and the consequences of any incidents</w:t>
            </w:r>
          </w:p>
        </w:tc>
        <w:tc>
          <w:tcPr>
            <w:tcW w:w="1303" w:type="pct"/>
          </w:tcPr>
          <w:p w14:paraId="44FD80D4" w14:textId="7748EA43"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Modelling and reinforcement of effective complaint handling</w:t>
            </w:r>
          </w:p>
          <w:p w14:paraId="3366A6A0" w14:textId="7C89B987"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Communicate outcomes of complaint processes in a transparent way</w:t>
            </w:r>
          </w:p>
        </w:tc>
        <w:tc>
          <w:tcPr>
            <w:tcW w:w="1302" w:type="pct"/>
          </w:tcPr>
          <w:p w14:paraId="3C2B3E1C" w14:textId="6F707F44"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Revisit and update policies periodically</w:t>
            </w:r>
          </w:p>
          <w:p w14:paraId="2DD36B12" w14:textId="78E4AB84"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Utilize evidence-based training approaches</w:t>
            </w:r>
          </w:p>
          <w:p w14:paraId="50C7551F" w14:textId="21C8FE7B" w:rsidR="00DE32F7" w:rsidRPr="00C4014A" w:rsidRDefault="00DE32F7"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b/>
                <w:bCs/>
              </w:rPr>
              <w:t>Communicate taken consequences</w:t>
            </w:r>
          </w:p>
          <w:p w14:paraId="04131694" w14:textId="77777777" w:rsidR="00065664" w:rsidRPr="00C4014A" w:rsidRDefault="00065664" w:rsidP="00065664">
            <w:pPr>
              <w:spacing w:line="360" w:lineRule="auto"/>
              <w:rPr>
                <w:rFonts w:ascii="Times New Roman" w:hAnsi="Times New Roman" w:cs="Times New Roman"/>
              </w:rPr>
            </w:pPr>
          </w:p>
        </w:tc>
      </w:tr>
      <w:tr w:rsidR="00065664" w14:paraId="5637208B" w14:textId="77777777" w:rsidTr="00777657">
        <w:tc>
          <w:tcPr>
            <w:tcW w:w="279" w:type="pct"/>
            <w:vMerge/>
            <w:tcBorders>
              <w:top w:val="nil"/>
              <w:left w:val="nil"/>
              <w:bottom w:val="nil"/>
              <w:right w:val="single" w:sz="4" w:space="0" w:color="auto"/>
            </w:tcBorders>
          </w:tcPr>
          <w:p w14:paraId="28B626B1" w14:textId="77777777" w:rsidR="00065664" w:rsidRPr="00C4014A" w:rsidRDefault="00065664" w:rsidP="00B223FB">
            <w:pPr>
              <w:spacing w:line="360" w:lineRule="auto"/>
              <w:jc w:val="both"/>
              <w:rPr>
                <w:rFonts w:ascii="Times New Roman" w:hAnsi="Times New Roman" w:cs="Times New Roman"/>
              </w:rPr>
            </w:pPr>
          </w:p>
        </w:tc>
        <w:tc>
          <w:tcPr>
            <w:tcW w:w="813" w:type="pct"/>
            <w:tcBorders>
              <w:left w:val="single" w:sz="4" w:space="0" w:color="auto"/>
            </w:tcBorders>
          </w:tcPr>
          <w:p w14:paraId="6EF72585" w14:textId="41A068A1" w:rsidR="00065664" w:rsidRPr="00C4014A" w:rsidRDefault="00065664" w:rsidP="00B223FB">
            <w:pPr>
              <w:spacing w:line="360" w:lineRule="auto"/>
              <w:jc w:val="both"/>
              <w:rPr>
                <w:rFonts w:ascii="Times New Roman" w:hAnsi="Times New Roman" w:cs="Times New Roman"/>
              </w:rPr>
            </w:pPr>
            <w:r w:rsidRPr="00C4014A">
              <w:rPr>
                <w:rFonts w:ascii="Times New Roman" w:hAnsi="Times New Roman" w:cs="Times New Roman"/>
              </w:rPr>
              <w:t>Management</w:t>
            </w:r>
          </w:p>
        </w:tc>
        <w:tc>
          <w:tcPr>
            <w:tcW w:w="1303" w:type="pct"/>
          </w:tcPr>
          <w:p w14:paraId="144D98C8" w14:textId="193AA7B1"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 xml:space="preserve">Ensure </w:t>
            </w:r>
            <w:r w:rsidR="00103072">
              <w:rPr>
                <w:rFonts w:ascii="Times New Roman" w:hAnsi="Times New Roman" w:cs="Times New Roman"/>
              </w:rPr>
              <w:t>SH</w:t>
            </w:r>
            <w:r w:rsidRPr="00C4014A">
              <w:rPr>
                <w:rFonts w:ascii="Times New Roman" w:hAnsi="Times New Roman" w:cs="Times New Roman"/>
              </w:rPr>
              <w:t xml:space="preserve"> training is regular/inclusive</w:t>
            </w:r>
          </w:p>
          <w:p w14:paraId="38FE7417" w14:textId="6EB15711"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Include conflict management in training modules</w:t>
            </w:r>
          </w:p>
          <w:p w14:paraId="7BFC1D43" w14:textId="5FAD84CE"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Emotional skills training for managers</w:t>
            </w:r>
          </w:p>
          <w:p w14:paraId="0E72C161" w14:textId="77777777"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Modelling and rehearsal principals delivered through training and policy</w:t>
            </w:r>
          </w:p>
          <w:p w14:paraId="5CA2CC74" w14:textId="77777777" w:rsidR="00A0357D" w:rsidRPr="00C4014A" w:rsidRDefault="00664555" w:rsidP="00A0357D">
            <w:pPr>
              <w:pStyle w:val="Listenabsatz"/>
              <w:numPr>
                <w:ilvl w:val="0"/>
                <w:numId w:val="3"/>
              </w:numPr>
              <w:ind w:left="284" w:hanging="284"/>
              <w:rPr>
                <w:rFonts w:ascii="Times New Roman" w:hAnsi="Times New Roman" w:cs="Times New Roman"/>
              </w:rPr>
            </w:pPr>
            <w:r w:rsidRPr="00C4014A">
              <w:rPr>
                <w:rFonts w:ascii="Times New Roman" w:hAnsi="Times New Roman" w:cs="Times New Roman"/>
                <w:b/>
                <w:bCs/>
              </w:rPr>
              <w:t xml:space="preserve">Incorporate bystander intervention </w:t>
            </w:r>
            <w:r w:rsidR="00F077EA" w:rsidRPr="00C4014A">
              <w:rPr>
                <w:rFonts w:ascii="Times New Roman" w:hAnsi="Times New Roman" w:cs="Times New Roman"/>
                <w:b/>
                <w:bCs/>
              </w:rPr>
              <w:t>training</w:t>
            </w:r>
          </w:p>
          <w:p w14:paraId="1A675BA0" w14:textId="3231CECB" w:rsidR="00A0357D" w:rsidRPr="00C4014A" w:rsidRDefault="00A0357D" w:rsidP="00A0357D">
            <w:pPr>
              <w:pStyle w:val="Listenabsatz"/>
              <w:numPr>
                <w:ilvl w:val="0"/>
                <w:numId w:val="3"/>
              </w:numPr>
              <w:ind w:left="284" w:hanging="284"/>
              <w:rPr>
                <w:rFonts w:ascii="Times New Roman" w:hAnsi="Times New Roman" w:cs="Times New Roman"/>
              </w:rPr>
            </w:pPr>
            <w:r w:rsidRPr="00C4014A">
              <w:rPr>
                <w:rFonts w:ascii="Times New Roman" w:hAnsi="Times New Roman" w:cs="Times New Roman"/>
                <w:b/>
                <w:bCs/>
              </w:rPr>
              <w:t>Inclusion of character-based hiring methods in the selection process</w:t>
            </w:r>
          </w:p>
        </w:tc>
        <w:tc>
          <w:tcPr>
            <w:tcW w:w="1303" w:type="pct"/>
          </w:tcPr>
          <w:p w14:paraId="2AB200DA" w14:textId="6B4E8802"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Develop multiple complaint handling channels</w:t>
            </w:r>
          </w:p>
          <w:p w14:paraId="1675B8CD" w14:textId="45AA8A85"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Ensure timely, transparent complaint handling</w:t>
            </w:r>
          </w:p>
          <w:p w14:paraId="663FBD82" w14:textId="5B55E407"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Apply commensurate sanctions</w:t>
            </w:r>
          </w:p>
          <w:p w14:paraId="7AEB027C" w14:textId="01961F31" w:rsidR="00777657" w:rsidRPr="00C4014A" w:rsidRDefault="00777657"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b/>
                <w:bCs/>
              </w:rPr>
              <w:t>Protect the safety of the complainant</w:t>
            </w:r>
          </w:p>
          <w:p w14:paraId="0A32C9CB" w14:textId="77777777" w:rsidR="00065664" w:rsidRPr="00C4014A" w:rsidRDefault="00065664" w:rsidP="00065664">
            <w:pPr>
              <w:spacing w:line="360" w:lineRule="auto"/>
              <w:rPr>
                <w:rFonts w:ascii="Times New Roman" w:hAnsi="Times New Roman" w:cs="Times New Roman"/>
              </w:rPr>
            </w:pPr>
          </w:p>
        </w:tc>
        <w:tc>
          <w:tcPr>
            <w:tcW w:w="1302" w:type="pct"/>
          </w:tcPr>
          <w:p w14:paraId="3D3D5E2C" w14:textId="320BD2D5"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Provide longer term support and assistance to targets</w:t>
            </w:r>
          </w:p>
          <w:p w14:paraId="4FC98CF8" w14:textId="1394D74A"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Ensure no longer term victimization of the target</w:t>
            </w:r>
          </w:p>
          <w:p w14:paraId="59741ADB" w14:textId="77777777" w:rsidR="00065664" w:rsidRPr="00C4014A" w:rsidRDefault="00065664" w:rsidP="00065664">
            <w:pPr>
              <w:spacing w:line="360" w:lineRule="auto"/>
              <w:rPr>
                <w:rFonts w:ascii="Times New Roman" w:hAnsi="Times New Roman" w:cs="Times New Roman"/>
              </w:rPr>
            </w:pPr>
          </w:p>
        </w:tc>
      </w:tr>
      <w:tr w:rsidR="00065664" w14:paraId="1E7D4DB2" w14:textId="77777777" w:rsidTr="00777657">
        <w:tc>
          <w:tcPr>
            <w:tcW w:w="279" w:type="pct"/>
            <w:vMerge/>
            <w:tcBorders>
              <w:top w:val="nil"/>
              <w:left w:val="nil"/>
              <w:bottom w:val="nil"/>
              <w:right w:val="single" w:sz="4" w:space="0" w:color="auto"/>
            </w:tcBorders>
          </w:tcPr>
          <w:p w14:paraId="1BE85E4C" w14:textId="77777777" w:rsidR="00065664" w:rsidRPr="00C4014A" w:rsidRDefault="00065664" w:rsidP="00B223FB">
            <w:pPr>
              <w:spacing w:line="360" w:lineRule="auto"/>
              <w:jc w:val="both"/>
              <w:rPr>
                <w:rFonts w:ascii="Times New Roman" w:hAnsi="Times New Roman" w:cs="Times New Roman"/>
              </w:rPr>
            </w:pPr>
          </w:p>
        </w:tc>
        <w:tc>
          <w:tcPr>
            <w:tcW w:w="813" w:type="pct"/>
            <w:tcBorders>
              <w:left w:val="single" w:sz="4" w:space="0" w:color="auto"/>
            </w:tcBorders>
          </w:tcPr>
          <w:p w14:paraId="3C764F5E" w14:textId="6D575777" w:rsidR="00065664" w:rsidRPr="00C4014A" w:rsidRDefault="00065664" w:rsidP="00B223FB">
            <w:pPr>
              <w:spacing w:line="360" w:lineRule="auto"/>
              <w:jc w:val="both"/>
              <w:rPr>
                <w:rFonts w:ascii="Times New Roman" w:hAnsi="Times New Roman" w:cs="Times New Roman"/>
              </w:rPr>
            </w:pPr>
            <w:r w:rsidRPr="00C4014A">
              <w:rPr>
                <w:rFonts w:ascii="Times New Roman" w:hAnsi="Times New Roman" w:cs="Times New Roman"/>
              </w:rPr>
              <w:t>Monitoring</w:t>
            </w:r>
          </w:p>
        </w:tc>
        <w:tc>
          <w:tcPr>
            <w:tcW w:w="1303" w:type="pct"/>
          </w:tcPr>
          <w:p w14:paraId="26A90837" w14:textId="727B91AB"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Assess specific organizational risk factors</w:t>
            </w:r>
          </w:p>
          <w:p w14:paraId="21CFA71C" w14:textId="20F20CCF"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Document attendance at training</w:t>
            </w:r>
          </w:p>
        </w:tc>
        <w:tc>
          <w:tcPr>
            <w:tcW w:w="1303" w:type="pct"/>
          </w:tcPr>
          <w:p w14:paraId="7E76490A" w14:textId="12DF2CB8" w:rsidR="00065664" w:rsidRPr="00C4014A" w:rsidRDefault="00065664" w:rsidP="00065664">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Assist managers to recognize victimization</w:t>
            </w:r>
          </w:p>
          <w:p w14:paraId="364AAE78" w14:textId="25E16EA9" w:rsidR="00B61568" w:rsidRPr="00C4014A" w:rsidRDefault="00065664" w:rsidP="00B61568">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Identify and reward managers</w:t>
            </w:r>
            <w:r w:rsidR="00B61568" w:rsidRPr="00C4014A">
              <w:rPr>
                <w:rFonts w:ascii="Times New Roman" w:hAnsi="Times New Roman" w:cs="Times New Roman"/>
              </w:rPr>
              <w:t xml:space="preserve"> </w:t>
            </w:r>
            <w:r w:rsidR="00B61568" w:rsidRPr="00C4014A">
              <w:rPr>
                <w:rFonts w:ascii="Times New Roman" w:hAnsi="Times New Roman" w:cs="Times New Roman"/>
                <w:b/>
                <w:bCs/>
              </w:rPr>
              <w:t>and bystanders</w:t>
            </w:r>
            <w:r w:rsidRPr="00C4014A">
              <w:rPr>
                <w:rFonts w:ascii="Times New Roman" w:hAnsi="Times New Roman" w:cs="Times New Roman"/>
              </w:rPr>
              <w:t xml:space="preserve"> who respond appropriately</w:t>
            </w:r>
          </w:p>
        </w:tc>
        <w:tc>
          <w:tcPr>
            <w:tcW w:w="1302" w:type="pct"/>
          </w:tcPr>
          <w:p w14:paraId="4F29CDA5" w14:textId="230E5222" w:rsidR="00B4238B" w:rsidRPr="00C4014A" w:rsidRDefault="00B4238B" w:rsidP="00B4238B">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Monitor practices that derogate on the basis of sex</w:t>
            </w:r>
          </w:p>
          <w:p w14:paraId="6A140E81" w14:textId="597111DB" w:rsidR="00065664" w:rsidRPr="00C4014A" w:rsidRDefault="00B4238B" w:rsidP="00B4238B">
            <w:pPr>
              <w:pStyle w:val="Listenabsatz"/>
              <w:numPr>
                <w:ilvl w:val="0"/>
                <w:numId w:val="3"/>
              </w:numPr>
              <w:ind w:left="284" w:hanging="284"/>
              <w:rPr>
                <w:rFonts w:ascii="Times New Roman" w:hAnsi="Times New Roman" w:cs="Times New Roman"/>
              </w:rPr>
            </w:pPr>
            <w:r w:rsidRPr="00C4014A">
              <w:rPr>
                <w:rFonts w:ascii="Times New Roman" w:hAnsi="Times New Roman" w:cs="Times New Roman"/>
              </w:rPr>
              <w:t>Stay abreast of developments in anti-discrimination law and policy</w:t>
            </w:r>
          </w:p>
        </w:tc>
      </w:tr>
    </w:tbl>
    <w:p w14:paraId="20730963" w14:textId="77777777" w:rsidR="003D5B4E" w:rsidRDefault="003D5B4E" w:rsidP="00B223FB">
      <w:pPr>
        <w:spacing w:line="360" w:lineRule="auto"/>
        <w:jc w:val="both"/>
        <w:rPr>
          <w:rFonts w:ascii="Times New Roman" w:hAnsi="Times New Roman" w:cs="Times New Roman"/>
          <w:b/>
          <w:bCs/>
          <w:sz w:val="24"/>
          <w:szCs w:val="24"/>
        </w:rPr>
      </w:pPr>
    </w:p>
    <w:p w14:paraId="4BAC9818" w14:textId="783BF0FB" w:rsidR="007D3F1A" w:rsidRPr="0085338E" w:rsidRDefault="00196539" w:rsidP="0041236F">
      <w:pPr>
        <w:spacing w:line="480" w:lineRule="auto"/>
        <w:jc w:val="both"/>
        <w:rPr>
          <w:rFonts w:ascii="Times New Roman" w:hAnsi="Times New Roman" w:cs="Times New Roman"/>
          <w:b/>
          <w:bCs/>
          <w:sz w:val="24"/>
          <w:szCs w:val="24"/>
        </w:rPr>
      </w:pPr>
      <w:r w:rsidRPr="0085338E">
        <w:rPr>
          <w:rFonts w:ascii="Times New Roman" w:hAnsi="Times New Roman" w:cs="Times New Roman"/>
          <w:b/>
          <w:bCs/>
          <w:sz w:val="24"/>
          <w:szCs w:val="24"/>
        </w:rPr>
        <w:t>Discussion and Impact on Workplace Sexual Harassment</w:t>
      </w:r>
    </w:p>
    <w:p w14:paraId="4C909697" w14:textId="00FBEF2D" w:rsidR="00AF5F24" w:rsidRPr="003D5B4E" w:rsidRDefault="0078777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We compare the established principle and application requirements of </w:t>
      </w:r>
      <w:r w:rsidR="00A328F3" w:rsidRPr="003D5B4E">
        <w:rPr>
          <w:rFonts w:ascii="Times New Roman" w:hAnsi="Times New Roman" w:cs="Times New Roman"/>
          <w:sz w:val="24"/>
          <w:szCs w:val="24"/>
        </w:rPr>
        <w:t>Directive 2023/2772/EU (the</w:t>
      </w:r>
      <w:r w:rsidRPr="003D5B4E">
        <w:rPr>
          <w:rFonts w:ascii="Times New Roman" w:hAnsi="Times New Roman" w:cs="Times New Roman"/>
          <w:sz w:val="24"/>
          <w:szCs w:val="24"/>
        </w:rPr>
        <w:t xml:space="preserve"> ESRS</w:t>
      </w:r>
      <w:r w:rsidR="00A328F3" w:rsidRPr="003D5B4E">
        <w:rPr>
          <w:rFonts w:ascii="Times New Roman" w:hAnsi="Times New Roman" w:cs="Times New Roman"/>
          <w:sz w:val="24"/>
          <w:szCs w:val="24"/>
        </w:rPr>
        <w:t>)</w:t>
      </w:r>
      <w:r w:rsidRPr="003D5B4E">
        <w:rPr>
          <w:rFonts w:ascii="Times New Roman" w:hAnsi="Times New Roman" w:cs="Times New Roman"/>
          <w:sz w:val="24"/>
          <w:szCs w:val="24"/>
        </w:rPr>
        <w:t xml:space="preserve"> with previous research to assess the opportunities presented by expanding the scope of the CSRD.</w:t>
      </w:r>
      <w:r w:rsidR="0028688B" w:rsidRPr="003D5B4E">
        <w:rPr>
          <w:rFonts w:ascii="Times New Roman" w:hAnsi="Times New Roman" w:cs="Times New Roman"/>
          <w:sz w:val="24"/>
          <w:szCs w:val="24"/>
        </w:rPr>
        <w:t xml:space="preserve"> </w:t>
      </w:r>
      <w:r w:rsidR="00BD33C4" w:rsidRPr="003D5B4E">
        <w:rPr>
          <w:rFonts w:ascii="Times New Roman" w:hAnsi="Times New Roman" w:cs="Times New Roman"/>
          <w:sz w:val="24"/>
          <w:szCs w:val="24"/>
        </w:rPr>
        <w:t xml:space="preserve">In our analysis, ESRS S1 on Own Workforce, </w:t>
      </w:r>
      <w:r w:rsidR="00200230" w:rsidRPr="003D5B4E">
        <w:rPr>
          <w:rFonts w:ascii="Times New Roman" w:hAnsi="Times New Roman" w:cs="Times New Roman"/>
          <w:sz w:val="24"/>
          <w:szCs w:val="24"/>
        </w:rPr>
        <w:t xml:space="preserve">ESRS S2 on Workers in the Value Chain, </w:t>
      </w:r>
      <w:r w:rsidR="00BD33C4" w:rsidRPr="003D5B4E">
        <w:rPr>
          <w:rFonts w:ascii="Times New Roman" w:hAnsi="Times New Roman" w:cs="Times New Roman"/>
          <w:sz w:val="24"/>
          <w:szCs w:val="24"/>
        </w:rPr>
        <w:t xml:space="preserve">and G1 on Business Conduct apply because these standards contain disclosure and application requirements that impact </w:t>
      </w:r>
      <w:r w:rsidR="00103072" w:rsidRPr="003D5B4E">
        <w:rPr>
          <w:rFonts w:ascii="Times New Roman" w:hAnsi="Times New Roman" w:cs="Times New Roman"/>
          <w:sz w:val="24"/>
          <w:szCs w:val="24"/>
        </w:rPr>
        <w:t>SH</w:t>
      </w:r>
      <w:r w:rsidR="00BD33C4" w:rsidRPr="003D5B4E">
        <w:rPr>
          <w:rFonts w:ascii="Times New Roman" w:hAnsi="Times New Roman" w:cs="Times New Roman"/>
          <w:sz w:val="24"/>
          <w:szCs w:val="24"/>
        </w:rPr>
        <w:t xml:space="preserve"> prevention and response strategies.</w:t>
      </w:r>
      <w:r w:rsidR="00BC0D4A" w:rsidRPr="003D5B4E">
        <w:rPr>
          <w:rFonts w:ascii="Times New Roman" w:hAnsi="Times New Roman" w:cs="Times New Roman"/>
          <w:sz w:val="24"/>
          <w:szCs w:val="24"/>
        </w:rPr>
        <w:t xml:space="preserve"> </w:t>
      </w:r>
    </w:p>
    <w:p w14:paraId="7051A78E" w14:textId="37F12948" w:rsidR="00EC1F06" w:rsidRPr="003D5B4E" w:rsidRDefault="00EC1F06" w:rsidP="0041236F">
      <w:pPr>
        <w:spacing w:line="480" w:lineRule="auto"/>
        <w:jc w:val="both"/>
        <w:rPr>
          <w:rFonts w:ascii="Times New Roman" w:hAnsi="Times New Roman" w:cs="Times New Roman"/>
          <w:i/>
          <w:iCs/>
          <w:sz w:val="24"/>
          <w:szCs w:val="24"/>
        </w:rPr>
      </w:pPr>
      <w:r w:rsidRPr="003D5B4E">
        <w:rPr>
          <w:rFonts w:ascii="Times New Roman" w:hAnsi="Times New Roman" w:cs="Times New Roman"/>
          <w:i/>
          <w:iCs/>
          <w:sz w:val="24"/>
          <w:szCs w:val="24"/>
        </w:rPr>
        <w:t>Definition</w:t>
      </w:r>
    </w:p>
    <w:p w14:paraId="6FA89420" w14:textId="54D9BE56" w:rsidR="00521766" w:rsidRPr="003D5B4E" w:rsidRDefault="00521766" w:rsidP="0041236F">
      <w:pPr>
        <w:spacing w:after="0" w:line="480" w:lineRule="auto"/>
        <w:jc w:val="both"/>
        <w:rPr>
          <w:rFonts w:ascii="Times New Roman" w:hAnsi="Times New Roman" w:cs="Times New Roman"/>
          <w:color w:val="000000" w:themeColor="text1"/>
          <w:sz w:val="24"/>
          <w:szCs w:val="24"/>
        </w:rPr>
      </w:pPr>
      <w:r w:rsidRPr="003D5B4E">
        <w:rPr>
          <w:rFonts w:ascii="Times New Roman" w:hAnsi="Times New Roman" w:cs="Times New Roman"/>
          <w:color w:val="000000" w:themeColor="text1"/>
          <w:sz w:val="24"/>
          <w:szCs w:val="24"/>
        </w:rPr>
        <w:t xml:space="preserve">The perception and understanding of </w:t>
      </w:r>
      <w:r w:rsidR="00103072" w:rsidRPr="003D5B4E">
        <w:rPr>
          <w:rFonts w:ascii="Times New Roman" w:hAnsi="Times New Roman" w:cs="Times New Roman"/>
          <w:color w:val="000000" w:themeColor="text1"/>
          <w:sz w:val="24"/>
          <w:szCs w:val="24"/>
        </w:rPr>
        <w:t>SH</w:t>
      </w:r>
      <w:r w:rsidRPr="003D5B4E">
        <w:rPr>
          <w:rFonts w:ascii="Times New Roman" w:hAnsi="Times New Roman" w:cs="Times New Roman"/>
          <w:color w:val="000000" w:themeColor="text1"/>
          <w:sz w:val="24"/>
          <w:szCs w:val="24"/>
        </w:rPr>
        <w:t xml:space="preserve"> can vary depending on the definition used (McDonald, 2012). Surveys that use the legal definition tend to yield fewer reported incidents than survey that ask individuals to provide their personal definition. Individuals affected by behaviors that meet the criteria for </w:t>
      </w:r>
      <w:r w:rsidR="00103072" w:rsidRPr="003D5B4E">
        <w:rPr>
          <w:rFonts w:ascii="Times New Roman" w:hAnsi="Times New Roman" w:cs="Times New Roman"/>
          <w:color w:val="000000" w:themeColor="text1"/>
          <w:sz w:val="24"/>
          <w:szCs w:val="24"/>
        </w:rPr>
        <w:t>SH</w:t>
      </w:r>
      <w:r w:rsidRPr="003D5B4E">
        <w:rPr>
          <w:rFonts w:ascii="Times New Roman" w:hAnsi="Times New Roman" w:cs="Times New Roman"/>
          <w:color w:val="000000" w:themeColor="text1"/>
          <w:sz w:val="24"/>
          <w:szCs w:val="24"/>
        </w:rPr>
        <w:t xml:space="preserve"> suffer comparable adverse effects, regardless of whether or not the behaviors are identified or labeled as such (Magley et al., 1999). However, the understanding of what constitutes </w:t>
      </w:r>
      <w:r w:rsidR="00103072" w:rsidRPr="003D5B4E">
        <w:rPr>
          <w:rFonts w:ascii="Times New Roman" w:hAnsi="Times New Roman" w:cs="Times New Roman"/>
          <w:color w:val="000000" w:themeColor="text1"/>
          <w:sz w:val="24"/>
          <w:szCs w:val="24"/>
        </w:rPr>
        <w:t>SH</w:t>
      </w:r>
      <w:r w:rsidRPr="003D5B4E">
        <w:rPr>
          <w:rFonts w:ascii="Times New Roman" w:hAnsi="Times New Roman" w:cs="Times New Roman"/>
          <w:color w:val="000000" w:themeColor="text1"/>
          <w:sz w:val="24"/>
          <w:szCs w:val="24"/>
        </w:rPr>
        <w:t xml:space="preserve"> by the general public plays a crucial role in shaping management behavior regarding complaints and consequences and employees’ perceptions of acceptable behavior within the organization (Cortina &amp; Berdahl, 2008).</w:t>
      </w:r>
    </w:p>
    <w:p w14:paraId="4839ACD9" w14:textId="6993D8B3" w:rsidR="00D0142B" w:rsidRPr="003D5B4E" w:rsidRDefault="00A328F3"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The ESRS</w:t>
      </w:r>
      <w:r w:rsidR="00D0142B" w:rsidRPr="003D5B4E">
        <w:rPr>
          <w:rFonts w:ascii="Times New Roman" w:hAnsi="Times New Roman" w:cs="Times New Roman"/>
          <w:sz w:val="24"/>
          <w:szCs w:val="24"/>
        </w:rPr>
        <w:t xml:space="preserve"> </w:t>
      </w:r>
      <w:r w:rsidRPr="003D5B4E">
        <w:rPr>
          <w:rFonts w:ascii="Times New Roman" w:hAnsi="Times New Roman" w:cs="Times New Roman"/>
          <w:sz w:val="24"/>
          <w:szCs w:val="24"/>
        </w:rPr>
        <w:t>do</w:t>
      </w:r>
      <w:r w:rsidR="00D0142B" w:rsidRPr="003D5B4E">
        <w:rPr>
          <w:rFonts w:ascii="Times New Roman" w:hAnsi="Times New Roman" w:cs="Times New Roman"/>
          <w:sz w:val="24"/>
          <w:szCs w:val="24"/>
        </w:rPr>
        <w:t xml:space="preserve"> not explicitly define </w:t>
      </w:r>
      <w:r w:rsidR="00103072" w:rsidRPr="003D5B4E">
        <w:rPr>
          <w:rFonts w:ascii="Times New Roman" w:hAnsi="Times New Roman" w:cs="Times New Roman"/>
          <w:sz w:val="24"/>
          <w:szCs w:val="24"/>
        </w:rPr>
        <w:t>SH</w:t>
      </w:r>
      <w:r w:rsidR="00D0142B" w:rsidRPr="003D5B4E">
        <w:rPr>
          <w:rFonts w:ascii="Times New Roman" w:hAnsi="Times New Roman" w:cs="Times New Roman"/>
          <w:sz w:val="24"/>
          <w:szCs w:val="24"/>
        </w:rPr>
        <w:t xml:space="preserve"> but harassment in general. </w:t>
      </w:r>
      <w:r w:rsidRPr="003D5B4E">
        <w:rPr>
          <w:rFonts w:ascii="Times New Roman" w:hAnsi="Times New Roman" w:cs="Times New Roman"/>
          <w:sz w:val="24"/>
          <w:szCs w:val="24"/>
        </w:rPr>
        <w:t>They</w:t>
      </w:r>
      <w:r w:rsidR="00D0142B" w:rsidRPr="003D5B4E">
        <w:rPr>
          <w:rFonts w:ascii="Times New Roman" w:hAnsi="Times New Roman" w:cs="Times New Roman"/>
          <w:sz w:val="24"/>
          <w:szCs w:val="24"/>
        </w:rPr>
        <w:t xml:space="preserve"> define harassment as:</w:t>
      </w:r>
    </w:p>
    <w:p w14:paraId="6390838D" w14:textId="28082839" w:rsidR="00D0142B" w:rsidRPr="003D5B4E" w:rsidRDefault="00D0142B"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 A situation where an unwanted conduct related to a protected ground of discrimination (for example, gender under Directive 2006/54/EC of the European Parliament and of the Council […], or religion or belief, disability, age, or sexual orientation under Council Directive 2000/78/EC […] occurs with the purpose or effect of violating the dignity of a person, and of creating an intimidating, hostile, degrading, humiliating or offensive environment.”</w:t>
      </w:r>
      <w:r w:rsidR="00521766" w:rsidRPr="003D5B4E">
        <w:rPr>
          <w:rFonts w:ascii="Times New Roman" w:hAnsi="Times New Roman" w:cs="Times New Roman"/>
          <w:sz w:val="24"/>
          <w:szCs w:val="24"/>
        </w:rPr>
        <w:t xml:space="preserve"> (Directive 2023/2722/EU, Annex II)</w:t>
      </w:r>
    </w:p>
    <w:p w14:paraId="72F92090" w14:textId="7FA67152" w:rsidR="00FC0A3C" w:rsidRDefault="00FC0A3C"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Directive</w:t>
      </w:r>
      <w:r w:rsidR="007003E5" w:rsidRPr="003D5B4E">
        <w:rPr>
          <w:rFonts w:ascii="Times New Roman" w:hAnsi="Times New Roman" w:cs="Times New Roman"/>
          <w:sz w:val="24"/>
          <w:szCs w:val="24"/>
        </w:rPr>
        <w:t xml:space="preserve"> 2006/54/EC</w:t>
      </w:r>
      <w:r w:rsidRPr="003D5B4E">
        <w:rPr>
          <w:rFonts w:ascii="Times New Roman" w:hAnsi="Times New Roman" w:cs="Times New Roman"/>
          <w:sz w:val="24"/>
          <w:szCs w:val="24"/>
        </w:rPr>
        <w:t xml:space="preserve"> provides a clear definition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as "</w:t>
      </w:r>
      <w:r w:rsidR="007003E5" w:rsidRPr="003D5B4E">
        <w:rPr>
          <w:rFonts w:ascii="Times New Roman" w:hAnsi="Times New Roman" w:cs="Times New Roman"/>
          <w:sz w:val="24"/>
          <w:szCs w:val="24"/>
        </w:rPr>
        <w:t xml:space="preserve">where </w:t>
      </w:r>
      <w:r w:rsidRPr="003D5B4E">
        <w:rPr>
          <w:rFonts w:ascii="Times New Roman" w:hAnsi="Times New Roman" w:cs="Times New Roman"/>
          <w:sz w:val="24"/>
          <w:szCs w:val="24"/>
        </w:rPr>
        <w:t>any form of unwanted verbal, non-verbal or physical conduct of a sexual nature</w:t>
      </w:r>
      <w:r w:rsidR="007003E5" w:rsidRPr="003D5B4E">
        <w:rPr>
          <w:rFonts w:ascii="Times New Roman" w:hAnsi="Times New Roman" w:cs="Times New Roman"/>
          <w:sz w:val="24"/>
          <w:szCs w:val="24"/>
        </w:rPr>
        <w:t xml:space="preserve"> occurs</w:t>
      </w:r>
      <w:r w:rsidRPr="003D5B4E">
        <w:rPr>
          <w:rFonts w:ascii="Times New Roman" w:hAnsi="Times New Roman" w:cs="Times New Roman"/>
          <w:sz w:val="24"/>
          <w:szCs w:val="24"/>
        </w:rPr>
        <w:t>, with the purpose or effect of violating the dignity of a person, in particular when creating an intimidating, hostile, degrading, humiliating or offensive environment" (Directive 2006/54/EC, Article 2</w:t>
      </w:r>
      <w:r w:rsidR="007003E5" w:rsidRPr="003D5B4E">
        <w:rPr>
          <w:rFonts w:ascii="Times New Roman" w:hAnsi="Times New Roman" w:cs="Times New Roman"/>
          <w:sz w:val="24"/>
          <w:szCs w:val="24"/>
        </w:rPr>
        <w:t>, 1(d)</w:t>
      </w:r>
      <w:r w:rsidRPr="003D5B4E">
        <w:rPr>
          <w:rFonts w:ascii="Times New Roman" w:hAnsi="Times New Roman" w:cs="Times New Roman"/>
          <w:sz w:val="24"/>
          <w:szCs w:val="24"/>
        </w:rPr>
        <w:t xml:space="preserve">). </w:t>
      </w:r>
      <w:r w:rsidR="007864E8" w:rsidRPr="003D5B4E">
        <w:rPr>
          <w:rFonts w:ascii="Times New Roman" w:hAnsi="Times New Roman" w:cs="Times New Roman"/>
          <w:sz w:val="24"/>
          <w:szCs w:val="24"/>
        </w:rPr>
        <w:t xml:space="preserve">Based on this, we argue that the definition of </w:t>
      </w:r>
      <w:r w:rsidR="00A328F3" w:rsidRPr="003D5B4E">
        <w:rPr>
          <w:rFonts w:ascii="Times New Roman" w:hAnsi="Times New Roman" w:cs="Times New Roman"/>
          <w:sz w:val="24"/>
          <w:szCs w:val="24"/>
        </w:rPr>
        <w:t>the ESRS align</w:t>
      </w:r>
      <w:r w:rsidR="007864E8" w:rsidRPr="003D5B4E">
        <w:rPr>
          <w:rFonts w:ascii="Times New Roman" w:hAnsi="Times New Roman" w:cs="Times New Roman"/>
          <w:sz w:val="24"/>
          <w:szCs w:val="24"/>
        </w:rPr>
        <w:t xml:space="preserve"> with European and international standards (see EEOC definition). </w:t>
      </w:r>
      <w:r w:rsidR="007277FE" w:rsidRPr="003D5B4E">
        <w:rPr>
          <w:rFonts w:ascii="Times New Roman" w:hAnsi="Times New Roman" w:cs="Times New Roman"/>
          <w:sz w:val="24"/>
          <w:szCs w:val="24"/>
        </w:rPr>
        <w:t xml:space="preserve">However, Gomes et al. (2004) critize the term ‘unwanted’, the concept of dignity, and the idea of an abusive work environment. The term ‘unwanted’ implies that an individual has the right to choose whether or not they are exposed to sexually harassing behavior. </w:t>
      </w:r>
      <w:r w:rsidR="009441A5" w:rsidRPr="003D5B4E">
        <w:rPr>
          <w:rFonts w:ascii="Times New Roman" w:hAnsi="Times New Roman" w:cs="Times New Roman"/>
          <w:sz w:val="24"/>
          <w:szCs w:val="24"/>
        </w:rPr>
        <w:t xml:space="preserve">The concept of dignity is subject to interpretation. It is unclear when an individual’s dignity is violated, as this may vary between member states and individuals. Consequently, each member state will need to address this question as a matter of public policy, which limits comparability. </w:t>
      </w:r>
      <w:r w:rsidR="00615F31" w:rsidRPr="003D5B4E">
        <w:rPr>
          <w:rFonts w:ascii="Times New Roman" w:hAnsi="Times New Roman" w:cs="Times New Roman"/>
          <w:sz w:val="24"/>
          <w:szCs w:val="24"/>
        </w:rPr>
        <w:t xml:space="preserve">Directive 2006/54/EC does not provide guidance on what specifically constitutes “an intimidating, hostile, degrading, humiliating or offensive environment”. The severity or pervasiveness of </w:t>
      </w:r>
      <w:r w:rsidR="00462519" w:rsidRPr="003D5B4E">
        <w:rPr>
          <w:rFonts w:ascii="Times New Roman" w:hAnsi="Times New Roman" w:cs="Times New Roman"/>
          <w:sz w:val="24"/>
          <w:szCs w:val="24"/>
        </w:rPr>
        <w:t>such behavior can be determined by examining whether it is intimidating,</w:t>
      </w:r>
      <w:r w:rsidR="00615F31" w:rsidRPr="003D5B4E">
        <w:rPr>
          <w:rFonts w:ascii="Times New Roman" w:hAnsi="Times New Roman" w:cs="Times New Roman"/>
          <w:sz w:val="24"/>
          <w:szCs w:val="24"/>
        </w:rPr>
        <w:t xml:space="preserve"> degrading, or humiliating.</w:t>
      </w:r>
      <w:r w:rsidR="005D0A07" w:rsidRPr="003D5B4E">
        <w:rPr>
          <w:rFonts w:ascii="Times New Roman" w:hAnsi="Times New Roman" w:cs="Times New Roman"/>
          <w:sz w:val="24"/>
          <w:szCs w:val="24"/>
        </w:rPr>
        <w:t xml:space="preserve"> </w:t>
      </w:r>
      <w:r w:rsidR="00462519" w:rsidRPr="003D5B4E">
        <w:rPr>
          <w:rFonts w:ascii="Times New Roman" w:hAnsi="Times New Roman" w:cs="Times New Roman"/>
          <w:sz w:val="24"/>
          <w:szCs w:val="24"/>
        </w:rPr>
        <w:t>The</w:t>
      </w:r>
      <w:r w:rsidR="005D0A07" w:rsidRPr="003D5B4E">
        <w:rPr>
          <w:rFonts w:ascii="Times New Roman" w:hAnsi="Times New Roman" w:cs="Times New Roman"/>
          <w:sz w:val="24"/>
          <w:szCs w:val="24"/>
        </w:rPr>
        <w:t xml:space="preserve"> determination of </w:t>
      </w:r>
      <w:r w:rsidR="00462519" w:rsidRPr="003D5B4E">
        <w:rPr>
          <w:rFonts w:ascii="Times New Roman" w:hAnsi="Times New Roman" w:cs="Times New Roman"/>
          <w:sz w:val="24"/>
          <w:szCs w:val="24"/>
        </w:rPr>
        <w:t xml:space="preserve">incidents of </w:t>
      </w:r>
      <w:r w:rsidR="00103072" w:rsidRPr="003D5B4E">
        <w:rPr>
          <w:rFonts w:ascii="Times New Roman" w:hAnsi="Times New Roman" w:cs="Times New Roman"/>
          <w:sz w:val="24"/>
          <w:szCs w:val="24"/>
        </w:rPr>
        <w:t>SH</w:t>
      </w:r>
      <w:r w:rsidR="005D0A07" w:rsidRPr="003D5B4E">
        <w:rPr>
          <w:rFonts w:ascii="Times New Roman" w:hAnsi="Times New Roman" w:cs="Times New Roman"/>
          <w:sz w:val="24"/>
          <w:szCs w:val="24"/>
        </w:rPr>
        <w:t xml:space="preserve"> is influenced by national norms and different work environments </w:t>
      </w:r>
      <w:r w:rsidR="00402EBC" w:rsidRPr="003D5B4E">
        <w:rPr>
          <w:rFonts w:ascii="Times New Roman" w:hAnsi="Times New Roman" w:cs="Times New Roman"/>
          <w:sz w:val="24"/>
          <w:szCs w:val="24"/>
        </w:rPr>
        <w:t>within a single</w:t>
      </w:r>
      <w:r w:rsidR="005D0A07" w:rsidRPr="003D5B4E">
        <w:rPr>
          <w:rFonts w:ascii="Times New Roman" w:hAnsi="Times New Roman" w:cs="Times New Roman"/>
          <w:sz w:val="24"/>
          <w:szCs w:val="24"/>
        </w:rPr>
        <w:t xml:space="preserve"> country. </w:t>
      </w:r>
      <w:r w:rsidR="00402EBC" w:rsidRPr="003D5B4E">
        <w:rPr>
          <w:rFonts w:ascii="Times New Roman" w:hAnsi="Times New Roman" w:cs="Times New Roman"/>
          <w:sz w:val="24"/>
          <w:szCs w:val="24"/>
        </w:rPr>
        <w:t xml:space="preserve">It is crucial to note that </w:t>
      </w:r>
      <w:r w:rsidR="00103072" w:rsidRPr="003D5B4E">
        <w:rPr>
          <w:rFonts w:ascii="Times New Roman" w:hAnsi="Times New Roman" w:cs="Times New Roman"/>
          <w:sz w:val="24"/>
          <w:szCs w:val="24"/>
        </w:rPr>
        <w:t>SH</w:t>
      </w:r>
      <w:r w:rsidR="005D0A07" w:rsidRPr="003D5B4E">
        <w:rPr>
          <w:rFonts w:ascii="Times New Roman" w:hAnsi="Times New Roman" w:cs="Times New Roman"/>
          <w:sz w:val="24"/>
          <w:szCs w:val="24"/>
        </w:rPr>
        <w:t xml:space="preserve"> should not be </w:t>
      </w:r>
      <w:r w:rsidR="00402EBC" w:rsidRPr="003D5B4E">
        <w:rPr>
          <w:rFonts w:ascii="Times New Roman" w:hAnsi="Times New Roman" w:cs="Times New Roman"/>
          <w:sz w:val="24"/>
          <w:szCs w:val="24"/>
        </w:rPr>
        <w:t>justified solely</w:t>
      </w:r>
      <w:r w:rsidR="005D0A07" w:rsidRPr="003D5B4E">
        <w:rPr>
          <w:rFonts w:ascii="Times New Roman" w:hAnsi="Times New Roman" w:cs="Times New Roman"/>
          <w:sz w:val="24"/>
          <w:szCs w:val="24"/>
        </w:rPr>
        <w:t xml:space="preserve"> because it is </w:t>
      </w:r>
      <w:r w:rsidR="00402EBC" w:rsidRPr="003D5B4E">
        <w:rPr>
          <w:rFonts w:ascii="Times New Roman" w:hAnsi="Times New Roman" w:cs="Times New Roman"/>
          <w:sz w:val="24"/>
          <w:szCs w:val="24"/>
        </w:rPr>
        <w:t>deemed acceptable</w:t>
      </w:r>
      <w:r w:rsidR="005D0A07" w:rsidRPr="003D5B4E">
        <w:rPr>
          <w:rFonts w:ascii="Times New Roman" w:hAnsi="Times New Roman" w:cs="Times New Roman"/>
          <w:sz w:val="24"/>
          <w:szCs w:val="24"/>
        </w:rPr>
        <w:t xml:space="preserve"> in a particular workplace or industry. </w:t>
      </w:r>
      <w:r w:rsidR="00402EBC" w:rsidRPr="003D5B4E">
        <w:rPr>
          <w:rFonts w:ascii="Times New Roman" w:hAnsi="Times New Roman" w:cs="Times New Roman"/>
          <w:sz w:val="24"/>
          <w:szCs w:val="24"/>
        </w:rPr>
        <w:t xml:space="preserve">Employers must be held accountable for creating and tolerating an abusive work environment. </w:t>
      </w:r>
      <w:r w:rsidR="005D0A07" w:rsidRPr="003D5B4E">
        <w:rPr>
          <w:rFonts w:ascii="Times New Roman" w:hAnsi="Times New Roman" w:cs="Times New Roman"/>
          <w:sz w:val="24"/>
          <w:szCs w:val="24"/>
        </w:rPr>
        <w:t xml:space="preserve">It would be unacceptable if employers could avoid liability for creating and approving an abusive work environment. In the application of </w:t>
      </w:r>
      <w:r w:rsidR="00A328F3" w:rsidRPr="003D5B4E">
        <w:rPr>
          <w:rFonts w:ascii="Times New Roman" w:hAnsi="Times New Roman" w:cs="Times New Roman"/>
          <w:sz w:val="24"/>
          <w:szCs w:val="24"/>
        </w:rPr>
        <w:t>the ESRS</w:t>
      </w:r>
      <w:r w:rsidR="005D0A07" w:rsidRPr="003D5B4E">
        <w:rPr>
          <w:rFonts w:ascii="Times New Roman" w:hAnsi="Times New Roman" w:cs="Times New Roman"/>
          <w:sz w:val="24"/>
          <w:szCs w:val="24"/>
        </w:rPr>
        <w:t xml:space="preserve"> member states should provide guidance on what constitutes unacceptable behavior, taking into account the social and cultural context.</w:t>
      </w:r>
      <w:r w:rsidR="00615F31" w:rsidRPr="003D5B4E">
        <w:rPr>
          <w:rFonts w:ascii="Times New Roman" w:hAnsi="Times New Roman" w:cs="Times New Roman"/>
          <w:sz w:val="24"/>
          <w:szCs w:val="24"/>
        </w:rPr>
        <w:t xml:space="preserve"> </w:t>
      </w:r>
      <w:r w:rsidR="001A2134" w:rsidRPr="003D5B4E">
        <w:rPr>
          <w:rFonts w:ascii="Times New Roman" w:hAnsi="Times New Roman" w:cs="Times New Roman"/>
          <w:sz w:val="24"/>
          <w:szCs w:val="24"/>
        </w:rPr>
        <w:t xml:space="preserve">The definition of </w:t>
      </w:r>
      <w:r w:rsidR="00103072" w:rsidRPr="003D5B4E">
        <w:rPr>
          <w:rFonts w:ascii="Times New Roman" w:hAnsi="Times New Roman" w:cs="Times New Roman"/>
          <w:sz w:val="24"/>
          <w:szCs w:val="24"/>
        </w:rPr>
        <w:t>SH</w:t>
      </w:r>
      <w:r w:rsidR="001A2134" w:rsidRPr="003D5B4E">
        <w:rPr>
          <w:rFonts w:ascii="Times New Roman" w:hAnsi="Times New Roman" w:cs="Times New Roman"/>
          <w:sz w:val="24"/>
          <w:szCs w:val="24"/>
        </w:rPr>
        <w:t xml:space="preserve"> must strike a balance between a clear, behavioral definition that leaves </w:t>
      </w:r>
      <w:r w:rsidR="00402EBC" w:rsidRPr="003D5B4E">
        <w:rPr>
          <w:rFonts w:ascii="Times New Roman" w:hAnsi="Times New Roman" w:cs="Times New Roman"/>
          <w:sz w:val="24"/>
          <w:szCs w:val="24"/>
        </w:rPr>
        <w:t>no</w:t>
      </w:r>
      <w:r w:rsidR="001A2134" w:rsidRPr="003D5B4E">
        <w:rPr>
          <w:rFonts w:ascii="Times New Roman" w:hAnsi="Times New Roman" w:cs="Times New Roman"/>
          <w:sz w:val="24"/>
          <w:szCs w:val="24"/>
        </w:rPr>
        <w:t xml:space="preserve"> room for </w:t>
      </w:r>
      <w:r w:rsidR="00402EBC" w:rsidRPr="003D5B4E">
        <w:rPr>
          <w:rFonts w:ascii="Times New Roman" w:hAnsi="Times New Roman" w:cs="Times New Roman"/>
          <w:sz w:val="24"/>
          <w:szCs w:val="24"/>
        </w:rPr>
        <w:t>adaptation</w:t>
      </w:r>
      <w:r w:rsidR="001A2134" w:rsidRPr="003D5B4E">
        <w:rPr>
          <w:rFonts w:ascii="Times New Roman" w:hAnsi="Times New Roman" w:cs="Times New Roman"/>
          <w:sz w:val="24"/>
          <w:szCs w:val="24"/>
        </w:rPr>
        <w:t xml:space="preserve"> and an interpretable legal definition that does not encourage management action in terms of prevention and response measures. </w:t>
      </w:r>
    </w:p>
    <w:p w14:paraId="35A9D7C0" w14:textId="77777777" w:rsidR="003539C8" w:rsidRDefault="003539C8" w:rsidP="0041236F">
      <w:pPr>
        <w:spacing w:line="480" w:lineRule="auto"/>
        <w:jc w:val="both"/>
        <w:rPr>
          <w:rFonts w:ascii="Times New Roman" w:hAnsi="Times New Roman" w:cs="Times New Roman"/>
          <w:sz w:val="24"/>
          <w:szCs w:val="24"/>
        </w:rPr>
      </w:pPr>
    </w:p>
    <w:p w14:paraId="03969071" w14:textId="7FEE39C9" w:rsidR="00EC1F06" w:rsidRPr="003D5B4E" w:rsidRDefault="00EC1F06" w:rsidP="0041236F">
      <w:pPr>
        <w:spacing w:line="480" w:lineRule="auto"/>
        <w:jc w:val="both"/>
        <w:rPr>
          <w:rFonts w:ascii="Times New Roman" w:hAnsi="Times New Roman" w:cs="Times New Roman"/>
          <w:i/>
          <w:iCs/>
          <w:sz w:val="24"/>
          <w:szCs w:val="24"/>
        </w:rPr>
      </w:pPr>
      <w:r w:rsidRPr="003D5B4E">
        <w:rPr>
          <w:rFonts w:ascii="Times New Roman" w:hAnsi="Times New Roman" w:cs="Times New Roman"/>
          <w:i/>
          <w:iCs/>
          <w:sz w:val="24"/>
          <w:szCs w:val="24"/>
        </w:rPr>
        <w:lastRenderedPageBreak/>
        <w:t xml:space="preserve">Primary Intervention </w:t>
      </w:r>
    </w:p>
    <w:p w14:paraId="416F3D81" w14:textId="722D89B5" w:rsidR="008D21A4" w:rsidRPr="003D5B4E" w:rsidRDefault="001C1EB7"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Primary interventions include antecedents and preventative practices that occur before an incident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takes place. </w:t>
      </w:r>
      <w:r w:rsidR="00C320B2" w:rsidRPr="003D5B4E">
        <w:rPr>
          <w:rFonts w:ascii="Times New Roman" w:hAnsi="Times New Roman" w:cs="Times New Roman"/>
          <w:sz w:val="24"/>
          <w:szCs w:val="24"/>
        </w:rPr>
        <w:t>Situational</w:t>
      </w:r>
      <w:r w:rsidRPr="003D5B4E">
        <w:rPr>
          <w:rFonts w:ascii="Times New Roman" w:hAnsi="Times New Roman" w:cs="Times New Roman"/>
          <w:sz w:val="24"/>
          <w:szCs w:val="24"/>
        </w:rPr>
        <w:t xml:space="preserve"> antecedents were found to be the most predictable and generalizable across different member states.</w:t>
      </w:r>
      <w:r w:rsidR="005E64FB" w:rsidRPr="003D5B4E">
        <w:rPr>
          <w:rFonts w:ascii="Times New Roman" w:hAnsi="Times New Roman" w:cs="Times New Roman"/>
          <w:sz w:val="24"/>
          <w:szCs w:val="24"/>
        </w:rPr>
        <w:t xml:space="preserve"> Organizational tolerance for sexually harassing behaviors and male-dominated contexts were found to increase the likelihood of harassment (e.g., O’Leary-Kelly et al., 2009; Willness et al., 2007).</w:t>
      </w:r>
      <w:r w:rsidR="001E03E4" w:rsidRPr="003D5B4E">
        <w:rPr>
          <w:rFonts w:ascii="Times New Roman" w:hAnsi="Times New Roman" w:cs="Times New Roman"/>
          <w:sz w:val="24"/>
          <w:szCs w:val="24"/>
        </w:rPr>
        <w:t xml:space="preserve"> In our proposed framework this constitutes </w:t>
      </w:r>
      <w:r w:rsidR="003F283C" w:rsidRPr="003D5B4E">
        <w:rPr>
          <w:rFonts w:ascii="Times New Roman" w:hAnsi="Times New Roman" w:cs="Times New Roman"/>
          <w:sz w:val="24"/>
          <w:szCs w:val="24"/>
        </w:rPr>
        <w:t xml:space="preserve">a clear statement </w:t>
      </w:r>
      <w:r w:rsidR="00A805EF" w:rsidRPr="003D5B4E">
        <w:rPr>
          <w:rFonts w:ascii="Times New Roman" w:hAnsi="Times New Roman" w:cs="Times New Roman"/>
          <w:sz w:val="24"/>
          <w:szCs w:val="24"/>
        </w:rPr>
        <w:t>of</w:t>
      </w:r>
      <w:r w:rsidR="003F283C" w:rsidRPr="003D5B4E">
        <w:rPr>
          <w:rFonts w:ascii="Times New Roman" w:hAnsi="Times New Roman" w:cs="Times New Roman"/>
          <w:sz w:val="24"/>
          <w:szCs w:val="24"/>
        </w:rPr>
        <w:t xml:space="preserve"> the organizational policy, and tone from the top. </w:t>
      </w:r>
      <w:r w:rsidR="00A328F3" w:rsidRPr="003D5B4E">
        <w:rPr>
          <w:rFonts w:ascii="Times New Roman" w:hAnsi="Times New Roman" w:cs="Times New Roman"/>
          <w:sz w:val="24"/>
          <w:szCs w:val="24"/>
        </w:rPr>
        <w:t>The ESRS</w:t>
      </w:r>
      <w:r w:rsidR="009736B0" w:rsidRPr="003D5B4E">
        <w:rPr>
          <w:rFonts w:ascii="Times New Roman" w:hAnsi="Times New Roman" w:cs="Times New Roman"/>
          <w:sz w:val="24"/>
          <w:szCs w:val="24"/>
        </w:rPr>
        <w:t xml:space="preserve"> determine several disclosure requirements on primary intervention. First, </w:t>
      </w:r>
      <w:r w:rsidR="00563700" w:rsidRPr="003D5B4E">
        <w:rPr>
          <w:rFonts w:ascii="Times New Roman" w:hAnsi="Times New Roman" w:cs="Times New Roman"/>
          <w:sz w:val="24"/>
          <w:szCs w:val="24"/>
        </w:rPr>
        <w:t>it</w:t>
      </w:r>
      <w:r w:rsidR="00566DCF" w:rsidRPr="003D5B4E">
        <w:rPr>
          <w:rFonts w:ascii="Times New Roman" w:hAnsi="Times New Roman" w:cs="Times New Roman"/>
          <w:sz w:val="24"/>
          <w:szCs w:val="24"/>
        </w:rPr>
        <w:t xml:space="preserve"> addresses organizational climate in standard G1 on Business Conduct</w:t>
      </w:r>
      <w:r w:rsidR="008D21A4" w:rsidRPr="003D5B4E">
        <w:rPr>
          <w:rFonts w:ascii="Times New Roman" w:hAnsi="Times New Roman" w:cs="Times New Roman"/>
          <w:sz w:val="24"/>
          <w:szCs w:val="24"/>
        </w:rPr>
        <w:t>:</w:t>
      </w:r>
    </w:p>
    <w:p w14:paraId="3F432F1E" w14:textId="2DA001FB" w:rsidR="008D21A4" w:rsidRPr="003D5B4E" w:rsidRDefault="008D21A4"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 xml:space="preserve">“The undertaking shall disclose its policies with respect to business conduct matters and how it fosters its corporate culture. […] The objective of this Disclosure Requirement is to enable an understanding of the extent to which the undertaking has policies that address the identification, assessment, management and/or remediation of its material impacts, risks and opportunities related to business conduct matters. It also aims to provide an understanding of the undertaking’s approach to corporate culture. [Policies] shall include how the undertaking establishes, develops, </w:t>
      </w:r>
      <w:r w:rsidR="00DB5DC3" w:rsidRPr="003D5B4E">
        <w:rPr>
          <w:rFonts w:ascii="Times New Roman" w:hAnsi="Times New Roman" w:cs="Times New Roman"/>
          <w:sz w:val="24"/>
          <w:szCs w:val="24"/>
        </w:rPr>
        <w:t>promotes,</w:t>
      </w:r>
      <w:r w:rsidRPr="003D5B4E">
        <w:rPr>
          <w:rFonts w:ascii="Times New Roman" w:hAnsi="Times New Roman" w:cs="Times New Roman"/>
          <w:sz w:val="24"/>
          <w:szCs w:val="24"/>
        </w:rPr>
        <w:t xml:space="preserve"> and evaluates its corporate culture.” (Directive 2023/2772/EU, Disclosure Requirement G1-1, 7.-9.)</w:t>
      </w:r>
    </w:p>
    <w:p w14:paraId="48C800A4" w14:textId="130FDCAB" w:rsidR="00563700" w:rsidRPr="003D5B4E" w:rsidRDefault="004E07BB"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The respective application requirements for disclosure requirements G1-1 specify:</w:t>
      </w:r>
    </w:p>
    <w:p w14:paraId="7C2FE07F" w14:textId="2C425C2B" w:rsidR="004E07BB" w:rsidRPr="003D5B4E" w:rsidRDefault="004E07BB"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 xml:space="preserve">“The undertaking may consider the following aspects when determining its disclosure […] (a) the aspects of corporate culture that are taken into consideration and discussed by the administrative, management and supervisory bodies and with which frequency; (b) principal themes that are promoted and communicated as part of the corporate culture; (c) how the members of the undertaking’s administrative, management, and supervisory bodies provide direction to promote a corporate culture; and (d) specific incentives or tools for its own </w:t>
      </w:r>
      <w:r w:rsidRPr="003D5B4E">
        <w:rPr>
          <w:rFonts w:ascii="Times New Roman" w:hAnsi="Times New Roman" w:cs="Times New Roman"/>
          <w:sz w:val="24"/>
          <w:szCs w:val="24"/>
        </w:rPr>
        <w:lastRenderedPageBreak/>
        <w:t>workers to foster and encourage its corporate culture.” (Directive 2023/2772/EU, Application Requirement G1-1, 1.)</w:t>
      </w:r>
    </w:p>
    <w:p w14:paraId="0FBD2D70" w14:textId="1C831D01" w:rsidR="004E07BB" w:rsidRPr="003D5B4E" w:rsidRDefault="00A51651"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We argue that concerning situational antecedents the ESRS provides mature measures for promoting a clear statement regarding the intent to prevent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w:t>
      </w:r>
      <w:r w:rsidR="008A088B" w:rsidRPr="003D5B4E">
        <w:rPr>
          <w:rFonts w:ascii="Times New Roman" w:hAnsi="Times New Roman" w:cs="Times New Roman"/>
          <w:sz w:val="24"/>
          <w:szCs w:val="24"/>
        </w:rPr>
        <w:t xml:space="preserve">The application requirements establish the basis for conveying an inclusive and benevolent tone from the top, thereby reducing the organization’s tolerance for </w:t>
      </w:r>
      <w:r w:rsidR="00103072" w:rsidRPr="003D5B4E">
        <w:rPr>
          <w:rFonts w:ascii="Times New Roman" w:hAnsi="Times New Roman" w:cs="Times New Roman"/>
          <w:sz w:val="24"/>
          <w:szCs w:val="24"/>
        </w:rPr>
        <w:t>SH</w:t>
      </w:r>
      <w:r w:rsidR="008A088B" w:rsidRPr="003D5B4E">
        <w:rPr>
          <w:rFonts w:ascii="Times New Roman" w:hAnsi="Times New Roman" w:cs="Times New Roman"/>
          <w:sz w:val="24"/>
          <w:szCs w:val="24"/>
        </w:rPr>
        <w:t xml:space="preserve">. </w:t>
      </w:r>
      <w:r w:rsidR="00A675F4" w:rsidRPr="003D5B4E">
        <w:rPr>
          <w:rFonts w:ascii="Times New Roman" w:hAnsi="Times New Roman" w:cs="Times New Roman"/>
          <w:sz w:val="24"/>
          <w:szCs w:val="24"/>
        </w:rPr>
        <w:t xml:space="preserve">However, we would recommend that organizations include a statement about promoting an inclusive and non-violent organizational culture in their vision and/or mission statement to emphasize its importance. </w:t>
      </w:r>
      <w:r w:rsidR="00EA41EA" w:rsidRPr="003D5B4E">
        <w:rPr>
          <w:rFonts w:ascii="Times New Roman" w:hAnsi="Times New Roman" w:cs="Times New Roman"/>
          <w:sz w:val="24"/>
          <w:szCs w:val="24"/>
        </w:rPr>
        <w:t>In addition, an organization’s management</w:t>
      </w:r>
      <w:r w:rsidR="00A675F4" w:rsidRPr="003D5B4E">
        <w:rPr>
          <w:rFonts w:ascii="Times New Roman" w:hAnsi="Times New Roman" w:cs="Times New Roman"/>
          <w:sz w:val="24"/>
          <w:szCs w:val="24"/>
        </w:rPr>
        <w:t xml:space="preserve"> </w:t>
      </w:r>
      <w:r w:rsidR="00EA41EA" w:rsidRPr="003D5B4E">
        <w:rPr>
          <w:rFonts w:ascii="Times New Roman" w:hAnsi="Times New Roman" w:cs="Times New Roman"/>
          <w:sz w:val="24"/>
          <w:szCs w:val="24"/>
        </w:rPr>
        <w:t>should consistently model and reinforce a culture that embodies these values.</w:t>
      </w:r>
      <w:r w:rsidR="00C320B2" w:rsidRPr="003D5B4E">
        <w:rPr>
          <w:rFonts w:ascii="Times New Roman" w:hAnsi="Times New Roman" w:cs="Times New Roman"/>
          <w:sz w:val="24"/>
          <w:szCs w:val="24"/>
        </w:rPr>
        <w:t xml:space="preserve"> There is a significant risk that the ESRS will be implemented as a </w:t>
      </w:r>
      <w:r w:rsidR="006355E4" w:rsidRPr="003D5B4E">
        <w:rPr>
          <w:rFonts w:ascii="Times New Roman" w:hAnsi="Times New Roman" w:cs="Times New Roman"/>
          <w:sz w:val="24"/>
          <w:szCs w:val="24"/>
        </w:rPr>
        <w:t>tick-the</w:t>
      </w:r>
      <w:r w:rsidR="00C320B2" w:rsidRPr="003D5B4E">
        <w:rPr>
          <w:rFonts w:ascii="Times New Roman" w:hAnsi="Times New Roman" w:cs="Times New Roman"/>
          <w:sz w:val="24"/>
          <w:szCs w:val="24"/>
        </w:rPr>
        <w:t xml:space="preserve">-box requirement rather than an effective one, especially when dealing with difficult-to-measure factors such as corporate culture. </w:t>
      </w:r>
    </w:p>
    <w:p w14:paraId="0C6314A7" w14:textId="3B3298D9" w:rsidR="0098536D" w:rsidRPr="003D5B4E" w:rsidRDefault="0098536D"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The composition of the board is an important factor that influences corporate culture</w:t>
      </w:r>
      <w:r w:rsidR="00884939">
        <w:rPr>
          <w:rFonts w:ascii="Times New Roman" w:hAnsi="Times New Roman" w:cs="Times New Roman"/>
          <w:sz w:val="24"/>
          <w:szCs w:val="24"/>
        </w:rPr>
        <w:t xml:space="preserve"> (e.g., Nielsen &amp; Huse, 2010)</w:t>
      </w:r>
      <w:r w:rsidRPr="003D5B4E">
        <w:rPr>
          <w:rFonts w:ascii="Times New Roman" w:hAnsi="Times New Roman" w:cs="Times New Roman"/>
          <w:sz w:val="24"/>
          <w:szCs w:val="24"/>
        </w:rPr>
        <w:t>. Empirical evidence has shown that gender diversity on boards has a positive effect on culture (Di Miceli da Silveira, 2022). The corporate culture of a firm can be seen as its attitude towards the inclusion or exclusion of women in the workplace.</w:t>
      </w:r>
      <w:r w:rsidR="0045035E" w:rsidRPr="003D5B4E">
        <w:rPr>
          <w:rFonts w:ascii="Times New Roman" w:hAnsi="Times New Roman" w:cs="Times New Roman"/>
          <w:sz w:val="24"/>
          <w:szCs w:val="24"/>
        </w:rPr>
        <w:t xml:space="preserve"> The ESRS address</w:t>
      </w:r>
      <w:r w:rsidR="00274938" w:rsidRPr="003D5B4E">
        <w:rPr>
          <w:rFonts w:ascii="Times New Roman" w:hAnsi="Times New Roman" w:cs="Times New Roman"/>
          <w:sz w:val="24"/>
          <w:szCs w:val="24"/>
        </w:rPr>
        <w:t xml:space="preserve"> this lever by requiring </w:t>
      </w:r>
      <w:r w:rsidR="0041236F">
        <w:rPr>
          <w:rFonts w:ascii="Times New Roman" w:hAnsi="Times New Roman" w:cs="Times New Roman"/>
          <w:sz w:val="24"/>
          <w:szCs w:val="24"/>
        </w:rPr>
        <w:t>organization</w:t>
      </w:r>
      <w:r w:rsidR="00274938" w:rsidRPr="003D5B4E">
        <w:rPr>
          <w:rFonts w:ascii="Times New Roman" w:hAnsi="Times New Roman" w:cs="Times New Roman"/>
          <w:sz w:val="24"/>
          <w:szCs w:val="24"/>
        </w:rPr>
        <w:t>s to disclose the characteristics of their employees</w:t>
      </w:r>
      <w:r w:rsidR="00C219F7" w:rsidRPr="003D5B4E">
        <w:rPr>
          <w:rFonts w:ascii="Times New Roman" w:hAnsi="Times New Roman" w:cs="Times New Roman"/>
          <w:sz w:val="24"/>
          <w:szCs w:val="24"/>
        </w:rPr>
        <w:t>:</w:t>
      </w:r>
    </w:p>
    <w:p w14:paraId="020F520B" w14:textId="6751DD5E" w:rsidR="00C219F7" w:rsidRPr="003D5B4E" w:rsidRDefault="00C219F7"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“The undertaking shall describe key characteristics of employees in its own workforce. […] The undertaking shall disclose: (a) the total number of employees by head count, and breakdowns by gender […]” (Directive 2023/2772/EU, Disclosure Requirement S1-6, 48., 50.)</w:t>
      </w:r>
    </w:p>
    <w:p w14:paraId="687FF594" w14:textId="2F15DF42" w:rsidR="00C219F7" w:rsidRPr="003D5B4E" w:rsidRDefault="00C219F7"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“The undertaking shall disclose the gender distribution at top management […]” (Directive 2023/2772/EU, Disclosure Requirement S1-9, 64.)</w:t>
      </w:r>
    </w:p>
    <w:p w14:paraId="12762149" w14:textId="1D20EBB3" w:rsidR="0018137D" w:rsidRPr="003D5B4E" w:rsidRDefault="00EA41E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 xml:space="preserve">Preventative practices include the assessment of risk factors, policies, and training (McDonald et al., 2015). The assessment of early risk factors involves identifying situations where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is more likely to occur, evaluating the role, status, and positions of women in the organization, and conducting regular and anonymous surveys of women's attitudes that include measures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w:t>
      </w:r>
      <w:r w:rsidR="0018137D" w:rsidRPr="003D5B4E">
        <w:rPr>
          <w:rFonts w:ascii="Times New Roman" w:hAnsi="Times New Roman" w:cs="Times New Roman"/>
          <w:sz w:val="24"/>
          <w:szCs w:val="24"/>
        </w:rPr>
        <w:t xml:space="preserve"> </w:t>
      </w:r>
      <w:r w:rsidR="00C219F7" w:rsidRPr="003D5B4E">
        <w:rPr>
          <w:rFonts w:ascii="Times New Roman" w:hAnsi="Times New Roman" w:cs="Times New Roman"/>
          <w:sz w:val="24"/>
          <w:szCs w:val="24"/>
        </w:rPr>
        <w:t xml:space="preserve">Directive 2023/2772/EU requires </w:t>
      </w:r>
      <w:r w:rsidR="0041236F">
        <w:rPr>
          <w:rFonts w:ascii="Times New Roman" w:hAnsi="Times New Roman" w:cs="Times New Roman"/>
          <w:sz w:val="24"/>
          <w:szCs w:val="24"/>
        </w:rPr>
        <w:t>organization</w:t>
      </w:r>
      <w:r w:rsidR="00C219F7" w:rsidRPr="003D5B4E">
        <w:rPr>
          <w:rFonts w:ascii="Times New Roman" w:hAnsi="Times New Roman" w:cs="Times New Roman"/>
          <w:sz w:val="24"/>
          <w:szCs w:val="24"/>
        </w:rPr>
        <w:t>s to explain</w:t>
      </w:r>
      <w:r w:rsidR="0018137D" w:rsidRPr="003D5B4E">
        <w:rPr>
          <w:rFonts w:ascii="Times New Roman" w:hAnsi="Times New Roman" w:cs="Times New Roman"/>
          <w:sz w:val="24"/>
          <w:szCs w:val="24"/>
        </w:rPr>
        <w:t xml:space="preserve">: </w:t>
      </w:r>
    </w:p>
    <w:p w14:paraId="4B227567" w14:textId="62BA9FBC" w:rsidR="00C219F7" w:rsidRPr="003D5B4E" w:rsidRDefault="0018137D"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 xml:space="preserve">“[…] </w:t>
      </w:r>
      <w:r w:rsidR="00C219F7" w:rsidRPr="003D5B4E">
        <w:rPr>
          <w:rFonts w:ascii="Times New Roman" w:hAnsi="Times New Roman" w:cs="Times New Roman"/>
          <w:sz w:val="24"/>
          <w:szCs w:val="24"/>
        </w:rPr>
        <w:t xml:space="preserve">the general approach </w:t>
      </w:r>
      <w:r w:rsidR="00EF287F" w:rsidRPr="003D5B4E">
        <w:rPr>
          <w:rFonts w:ascii="Times New Roman" w:hAnsi="Times New Roman" w:cs="Times New Roman"/>
          <w:sz w:val="24"/>
          <w:szCs w:val="24"/>
        </w:rPr>
        <w:t>[</w:t>
      </w:r>
      <w:r w:rsidR="00C219F7" w:rsidRPr="003D5B4E">
        <w:rPr>
          <w:rFonts w:ascii="Times New Roman" w:hAnsi="Times New Roman" w:cs="Times New Roman"/>
          <w:sz w:val="24"/>
          <w:szCs w:val="24"/>
        </w:rPr>
        <w:t>they take</w:t>
      </w:r>
      <w:r w:rsidR="00EF287F" w:rsidRPr="003D5B4E">
        <w:rPr>
          <w:rFonts w:ascii="Times New Roman" w:hAnsi="Times New Roman" w:cs="Times New Roman"/>
          <w:sz w:val="24"/>
          <w:szCs w:val="24"/>
        </w:rPr>
        <w:t>]</w:t>
      </w:r>
      <w:r w:rsidR="00C219F7" w:rsidRPr="003D5B4E">
        <w:rPr>
          <w:rFonts w:ascii="Times New Roman" w:hAnsi="Times New Roman" w:cs="Times New Roman"/>
          <w:sz w:val="24"/>
          <w:szCs w:val="24"/>
        </w:rPr>
        <w:t xml:space="preserve"> to identify and manage any material actual and potential impacts on </w:t>
      </w:r>
      <w:r w:rsidR="00EF287F" w:rsidRPr="003D5B4E">
        <w:rPr>
          <w:rFonts w:ascii="Times New Roman" w:hAnsi="Times New Roman" w:cs="Times New Roman"/>
          <w:sz w:val="24"/>
          <w:szCs w:val="24"/>
        </w:rPr>
        <w:t>[</w:t>
      </w:r>
      <w:r w:rsidR="00C219F7" w:rsidRPr="003D5B4E">
        <w:rPr>
          <w:rFonts w:ascii="Times New Roman" w:hAnsi="Times New Roman" w:cs="Times New Roman"/>
          <w:sz w:val="24"/>
          <w:szCs w:val="24"/>
        </w:rPr>
        <w:t>their</w:t>
      </w:r>
      <w:r w:rsidR="00EF287F" w:rsidRPr="003D5B4E">
        <w:rPr>
          <w:rFonts w:ascii="Times New Roman" w:hAnsi="Times New Roman" w:cs="Times New Roman"/>
          <w:sz w:val="24"/>
          <w:szCs w:val="24"/>
        </w:rPr>
        <w:t>]</w:t>
      </w:r>
      <w:r w:rsidR="00C219F7" w:rsidRPr="003D5B4E">
        <w:rPr>
          <w:rFonts w:ascii="Times New Roman" w:hAnsi="Times New Roman" w:cs="Times New Roman"/>
          <w:sz w:val="24"/>
          <w:szCs w:val="24"/>
        </w:rPr>
        <w:t xml:space="preserve"> own workforce in relation to the following social, including human rights, factors or matters: </w:t>
      </w:r>
      <w:r w:rsidR="00EF287F" w:rsidRPr="003D5B4E">
        <w:rPr>
          <w:rFonts w:ascii="Times New Roman" w:hAnsi="Times New Roman" w:cs="Times New Roman"/>
          <w:sz w:val="24"/>
          <w:szCs w:val="24"/>
        </w:rPr>
        <w:t xml:space="preserve">[…] (b) </w:t>
      </w:r>
      <w:r w:rsidR="00C219F7" w:rsidRPr="003D5B4E">
        <w:rPr>
          <w:rFonts w:ascii="Times New Roman" w:hAnsi="Times New Roman" w:cs="Times New Roman"/>
          <w:sz w:val="24"/>
          <w:szCs w:val="24"/>
        </w:rPr>
        <w:t xml:space="preserve">equal treatment and opportunities for all, including </w:t>
      </w:r>
      <w:r w:rsidR="00EF287F" w:rsidRPr="003D5B4E">
        <w:rPr>
          <w:rFonts w:ascii="Times New Roman" w:hAnsi="Times New Roman" w:cs="Times New Roman"/>
          <w:sz w:val="24"/>
          <w:szCs w:val="24"/>
        </w:rPr>
        <w:t xml:space="preserve">gender equality […]; </w:t>
      </w:r>
      <w:r w:rsidR="00C219F7" w:rsidRPr="003D5B4E">
        <w:rPr>
          <w:rFonts w:ascii="Times New Roman" w:hAnsi="Times New Roman" w:cs="Times New Roman"/>
          <w:sz w:val="24"/>
          <w:szCs w:val="24"/>
        </w:rPr>
        <w:t>measures against violence and harassment in the workplace</w:t>
      </w:r>
      <w:r w:rsidR="00EF287F" w:rsidRPr="003D5B4E">
        <w:rPr>
          <w:rFonts w:ascii="Times New Roman" w:hAnsi="Times New Roman" w:cs="Times New Roman"/>
          <w:sz w:val="24"/>
          <w:szCs w:val="24"/>
        </w:rPr>
        <w:t>; and diversity</w:t>
      </w:r>
      <w:r w:rsidR="00C219F7" w:rsidRPr="003D5B4E">
        <w:rPr>
          <w:rFonts w:ascii="Times New Roman" w:hAnsi="Times New Roman" w:cs="Times New Roman"/>
          <w:sz w:val="24"/>
          <w:szCs w:val="24"/>
        </w:rPr>
        <w:t>.</w:t>
      </w:r>
      <w:r w:rsidR="00EF287F" w:rsidRPr="003D5B4E">
        <w:rPr>
          <w:rFonts w:ascii="Times New Roman" w:hAnsi="Times New Roman" w:cs="Times New Roman"/>
          <w:sz w:val="24"/>
          <w:szCs w:val="24"/>
        </w:rPr>
        <w:t>” (Directive 2023/2772/EU, Objective, 2.)</w:t>
      </w:r>
    </w:p>
    <w:p w14:paraId="1F0816A7" w14:textId="4F6751D9" w:rsidR="00C219F7" w:rsidRPr="003D5B4E" w:rsidRDefault="0041236F" w:rsidP="0041236F">
      <w:pPr>
        <w:spacing w:line="480" w:lineRule="auto"/>
        <w:jc w:val="both"/>
        <w:rPr>
          <w:rFonts w:ascii="Times New Roman" w:hAnsi="Times New Roman" w:cs="Times New Roman"/>
          <w:sz w:val="24"/>
          <w:szCs w:val="24"/>
        </w:rPr>
      </w:pPr>
      <w:r>
        <w:rPr>
          <w:rFonts w:ascii="Times New Roman" w:hAnsi="Times New Roman" w:cs="Times New Roman"/>
          <w:sz w:val="24"/>
          <w:szCs w:val="24"/>
        </w:rPr>
        <w:t>Organization</w:t>
      </w:r>
      <w:r w:rsidR="00251D09" w:rsidRPr="003D5B4E">
        <w:rPr>
          <w:rFonts w:ascii="Times New Roman" w:hAnsi="Times New Roman" w:cs="Times New Roman"/>
          <w:sz w:val="24"/>
          <w:szCs w:val="24"/>
        </w:rPr>
        <w:t xml:space="preserve">s are required to disclose their processes to identify and assess material impacts, </w:t>
      </w:r>
      <w:r w:rsidR="00DB5DC3" w:rsidRPr="003D5B4E">
        <w:rPr>
          <w:rFonts w:ascii="Times New Roman" w:hAnsi="Times New Roman" w:cs="Times New Roman"/>
          <w:sz w:val="24"/>
          <w:szCs w:val="24"/>
        </w:rPr>
        <w:t>risks,</w:t>
      </w:r>
      <w:r w:rsidR="00251D09" w:rsidRPr="003D5B4E">
        <w:rPr>
          <w:rFonts w:ascii="Times New Roman" w:hAnsi="Times New Roman" w:cs="Times New Roman"/>
          <w:sz w:val="24"/>
          <w:szCs w:val="24"/>
        </w:rPr>
        <w:t xml:space="preserve"> and opportunities in relation to business conduct matters. </w:t>
      </w:r>
      <w:r w:rsidR="00A828A1" w:rsidRPr="003D5B4E">
        <w:rPr>
          <w:rFonts w:ascii="Times New Roman" w:hAnsi="Times New Roman" w:cs="Times New Roman"/>
          <w:sz w:val="24"/>
          <w:szCs w:val="24"/>
        </w:rPr>
        <w:t xml:space="preserve">Derived from this risk assessment, </w:t>
      </w:r>
      <w:r>
        <w:rPr>
          <w:rFonts w:ascii="Times New Roman" w:hAnsi="Times New Roman" w:cs="Times New Roman"/>
          <w:sz w:val="24"/>
          <w:szCs w:val="24"/>
        </w:rPr>
        <w:t>organization</w:t>
      </w:r>
      <w:r w:rsidR="00A828A1" w:rsidRPr="003D5B4E">
        <w:rPr>
          <w:rFonts w:ascii="Times New Roman" w:hAnsi="Times New Roman" w:cs="Times New Roman"/>
          <w:sz w:val="24"/>
          <w:szCs w:val="24"/>
        </w:rPr>
        <w:t xml:space="preserve">s need to compose their policies and actions to prevent, mitigate, and remediate actual and potential sustainability matters. </w:t>
      </w:r>
      <w:r w:rsidR="00251D09" w:rsidRPr="003D5B4E">
        <w:rPr>
          <w:rFonts w:ascii="Times New Roman" w:hAnsi="Times New Roman" w:cs="Times New Roman"/>
          <w:sz w:val="24"/>
          <w:szCs w:val="24"/>
        </w:rPr>
        <w:t xml:space="preserve">That indicates the importance of the risk assessment. Although the requirements for the risk assessment process are comprehensible, we recommend conducting the process both top-down and bottom-up to ensure a thorough evaluation. Including employee perspectives can make a decisive difference, especially for non-measurable issues such as </w:t>
      </w:r>
      <w:r w:rsidR="00103072" w:rsidRPr="003D5B4E">
        <w:rPr>
          <w:rFonts w:ascii="Times New Roman" w:hAnsi="Times New Roman" w:cs="Times New Roman"/>
          <w:sz w:val="24"/>
          <w:szCs w:val="24"/>
        </w:rPr>
        <w:t>SH</w:t>
      </w:r>
      <w:r w:rsidR="00251D09" w:rsidRPr="003D5B4E">
        <w:rPr>
          <w:rFonts w:ascii="Times New Roman" w:hAnsi="Times New Roman" w:cs="Times New Roman"/>
          <w:sz w:val="24"/>
          <w:szCs w:val="24"/>
        </w:rPr>
        <w:t>.</w:t>
      </w:r>
    </w:p>
    <w:p w14:paraId="444B06D0" w14:textId="4589CB42" w:rsidR="0083130F" w:rsidRPr="003D5B4E" w:rsidRDefault="00EA41E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Policies should provide a clear understanding of what constitutes wrongdoing in an organization, be visible, communicate ways to use the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policies in a trustworthy manner, rely on effective high-level management and modeling, ensure serious and immediate enforcement, along with clear sanctions, and commit to broader gender equality goals</w:t>
      </w:r>
      <w:r w:rsidR="002B67FF" w:rsidRPr="003D5B4E">
        <w:rPr>
          <w:rFonts w:ascii="Times New Roman" w:hAnsi="Times New Roman" w:cs="Times New Roman"/>
          <w:sz w:val="24"/>
          <w:szCs w:val="24"/>
        </w:rPr>
        <w:t xml:space="preserve"> (McDonald et al., 2015)</w:t>
      </w:r>
      <w:r w:rsidRPr="003D5B4E">
        <w:rPr>
          <w:rFonts w:ascii="Times New Roman" w:hAnsi="Times New Roman" w:cs="Times New Roman"/>
          <w:sz w:val="24"/>
          <w:szCs w:val="24"/>
        </w:rPr>
        <w:t xml:space="preserve">. </w:t>
      </w:r>
      <w:r w:rsidR="002B67FF" w:rsidRPr="003D5B4E">
        <w:rPr>
          <w:rFonts w:ascii="Times New Roman" w:hAnsi="Times New Roman" w:cs="Times New Roman"/>
          <w:sz w:val="24"/>
          <w:szCs w:val="24"/>
        </w:rPr>
        <w:t xml:space="preserve">The ESRS require </w:t>
      </w:r>
      <w:r w:rsidR="0041236F">
        <w:rPr>
          <w:rFonts w:ascii="Times New Roman" w:hAnsi="Times New Roman" w:cs="Times New Roman"/>
          <w:sz w:val="24"/>
          <w:szCs w:val="24"/>
        </w:rPr>
        <w:t>organization</w:t>
      </w:r>
      <w:r w:rsidR="002B67FF" w:rsidRPr="003D5B4E">
        <w:rPr>
          <w:rFonts w:ascii="Times New Roman" w:hAnsi="Times New Roman" w:cs="Times New Roman"/>
          <w:sz w:val="24"/>
          <w:szCs w:val="24"/>
        </w:rPr>
        <w:t>s to disclose information on:</w:t>
      </w:r>
    </w:p>
    <w:p w14:paraId="7E3A7818" w14:textId="179933FE" w:rsidR="002B67FF" w:rsidRPr="003D5B4E" w:rsidRDefault="002B67FF"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lastRenderedPageBreak/>
        <w:t>“[…] (a) whether it has specific policies aimed at the elimination of discrimination, including harassment, promoting equal opportunities and other ways to advance diversity and inclusion; (b) whether the following grounds for discrimination are specifically covered in the policy: racial and ethnic origin, color, sex, sexual orientation, gender identity, disability, age, religion, political opinion, national extraction or social origin, or other forms of discrimination covered by Union regulation and national law; (c) whether the undertaking has specific policy commitments related to inclusion or positive action for people from groups at particular risk of vulnerability in its own workforce and, if so, what these commitments are; and (d) whether and how these policies are implemented through specific procedures to ensure discrimination is prevented, mitigated and acted upon once detected, as well as to advance diversity and inclusion in general.” (Directive 2023/2772/EU, Disclosure requirement S1-1, 24.)</w:t>
      </w:r>
    </w:p>
    <w:p w14:paraId="07E2EE9D" w14:textId="35D41B71" w:rsidR="00F10D3E" w:rsidRPr="003D5B4E" w:rsidRDefault="00CC642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Furthermore</w:t>
      </w:r>
      <w:r w:rsidR="00A6649C" w:rsidRPr="003D5B4E">
        <w:rPr>
          <w:rFonts w:ascii="Times New Roman" w:hAnsi="Times New Roman" w:cs="Times New Roman"/>
          <w:sz w:val="24"/>
          <w:szCs w:val="24"/>
        </w:rPr>
        <w:t xml:space="preserve">, the ESRS </w:t>
      </w:r>
      <w:r w:rsidRPr="003D5B4E">
        <w:rPr>
          <w:rFonts w:ascii="Times New Roman" w:hAnsi="Times New Roman" w:cs="Times New Roman"/>
          <w:sz w:val="24"/>
          <w:szCs w:val="24"/>
        </w:rPr>
        <w:t>mandates that</w:t>
      </w:r>
      <w:r w:rsidR="00A6649C" w:rsidRPr="003D5B4E">
        <w:rPr>
          <w:rFonts w:ascii="Times New Roman" w:hAnsi="Times New Roman" w:cs="Times New Roman"/>
          <w:sz w:val="24"/>
          <w:szCs w:val="24"/>
        </w:rPr>
        <w:t xml:space="preserve"> </w:t>
      </w:r>
      <w:r w:rsidR="0041236F">
        <w:rPr>
          <w:rFonts w:ascii="Times New Roman" w:hAnsi="Times New Roman" w:cs="Times New Roman"/>
          <w:sz w:val="24"/>
          <w:szCs w:val="24"/>
        </w:rPr>
        <w:t>organization</w:t>
      </w:r>
      <w:r w:rsidR="00A6649C" w:rsidRPr="003D5B4E">
        <w:rPr>
          <w:rFonts w:ascii="Times New Roman" w:hAnsi="Times New Roman" w:cs="Times New Roman"/>
          <w:sz w:val="24"/>
          <w:szCs w:val="24"/>
        </w:rPr>
        <w:t xml:space="preserve">s </w:t>
      </w:r>
      <w:r w:rsidRPr="003D5B4E">
        <w:rPr>
          <w:rFonts w:ascii="Times New Roman" w:hAnsi="Times New Roman" w:cs="Times New Roman"/>
          <w:sz w:val="24"/>
          <w:szCs w:val="24"/>
        </w:rPr>
        <w:t>adhere to</w:t>
      </w:r>
      <w:r w:rsidR="00A6649C" w:rsidRPr="003D5B4E">
        <w:rPr>
          <w:rFonts w:ascii="Times New Roman" w:hAnsi="Times New Roman" w:cs="Times New Roman"/>
          <w:sz w:val="24"/>
          <w:szCs w:val="24"/>
        </w:rPr>
        <w:t xml:space="preserve"> the UN Guiding Principles on Business and Human Rights, ILO Declaration on Fundamental Principles and Rights at Work, and the OECD Guidelines for Multinational Enterprises. </w:t>
      </w:r>
      <w:r w:rsidR="00CE3BDE" w:rsidRPr="003D5B4E">
        <w:rPr>
          <w:rFonts w:ascii="Times New Roman" w:hAnsi="Times New Roman" w:cs="Times New Roman"/>
          <w:sz w:val="24"/>
          <w:szCs w:val="24"/>
        </w:rPr>
        <w:t xml:space="preserve">This signals a clear step towards equality and inclusion. </w:t>
      </w:r>
      <w:proofErr w:type="gramStart"/>
      <w:r w:rsidR="00CE3BDE" w:rsidRPr="003D5B4E">
        <w:rPr>
          <w:rFonts w:ascii="Times New Roman" w:hAnsi="Times New Roman" w:cs="Times New Roman"/>
          <w:sz w:val="24"/>
          <w:szCs w:val="24"/>
        </w:rPr>
        <w:t>In order to</w:t>
      </w:r>
      <w:proofErr w:type="gramEnd"/>
      <w:r w:rsidR="00CE3BDE" w:rsidRPr="003D5B4E">
        <w:rPr>
          <w:rFonts w:ascii="Times New Roman" w:hAnsi="Times New Roman" w:cs="Times New Roman"/>
          <w:sz w:val="24"/>
          <w:szCs w:val="24"/>
        </w:rPr>
        <w:t xml:space="preserve"> ensure policy accessibility and understanding among different audiences, </w:t>
      </w:r>
      <w:r w:rsidR="0041236F">
        <w:rPr>
          <w:rFonts w:ascii="Times New Roman" w:hAnsi="Times New Roman" w:cs="Times New Roman"/>
          <w:sz w:val="24"/>
          <w:szCs w:val="24"/>
        </w:rPr>
        <w:t>organization</w:t>
      </w:r>
      <w:r w:rsidR="00CE3BDE" w:rsidRPr="003D5B4E">
        <w:rPr>
          <w:rFonts w:ascii="Times New Roman" w:hAnsi="Times New Roman" w:cs="Times New Roman"/>
          <w:sz w:val="24"/>
          <w:szCs w:val="24"/>
        </w:rPr>
        <w:t>s must disclose their communication tools and channels. This disclosure contributes to the visibility of these policies. of communication tools and channels contribute to the visibility of these policies.</w:t>
      </w:r>
      <w:r w:rsidRPr="003D5B4E">
        <w:rPr>
          <w:rFonts w:ascii="Times New Roman" w:hAnsi="Times New Roman" w:cs="Times New Roman"/>
          <w:sz w:val="24"/>
          <w:szCs w:val="24"/>
        </w:rPr>
        <w:t xml:space="preserve">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w:t>
      </w:r>
      <w:r w:rsidR="00CE3BDE" w:rsidRPr="003D5B4E">
        <w:rPr>
          <w:rFonts w:ascii="Times New Roman" w:hAnsi="Times New Roman" w:cs="Times New Roman"/>
          <w:sz w:val="24"/>
          <w:szCs w:val="24"/>
        </w:rPr>
        <w:t>are required to</w:t>
      </w:r>
      <w:r w:rsidRPr="003D5B4E">
        <w:rPr>
          <w:rFonts w:ascii="Times New Roman" w:hAnsi="Times New Roman" w:cs="Times New Roman"/>
          <w:sz w:val="24"/>
          <w:szCs w:val="24"/>
        </w:rPr>
        <w:t xml:space="preserve"> assign responsibility for equal treatment and opportunities to top management and issue clear company-wide policies and procedures to guide equal employment practices.</w:t>
      </w:r>
      <w:r w:rsidR="00CE3BDE" w:rsidRPr="003D5B4E">
        <w:rPr>
          <w:rFonts w:ascii="Times New Roman" w:hAnsi="Times New Roman" w:cs="Times New Roman"/>
          <w:sz w:val="24"/>
          <w:szCs w:val="24"/>
        </w:rPr>
        <w:t xml:space="preserve"> The ESRS impacts the enforcement, high-level management, and modeling of these topics by mandating the assignment of responsibilities. </w:t>
      </w:r>
      <w:r w:rsidR="004B2BBF" w:rsidRPr="003D5B4E">
        <w:rPr>
          <w:rFonts w:ascii="Times New Roman" w:hAnsi="Times New Roman" w:cs="Times New Roman"/>
          <w:sz w:val="24"/>
          <w:szCs w:val="24"/>
        </w:rPr>
        <w:t xml:space="preserve">Although the ESRS disclosure requirements on policies regarding </w:t>
      </w:r>
      <w:r w:rsidR="00103072" w:rsidRPr="003D5B4E">
        <w:rPr>
          <w:rFonts w:ascii="Times New Roman" w:hAnsi="Times New Roman" w:cs="Times New Roman"/>
          <w:sz w:val="24"/>
          <w:szCs w:val="24"/>
        </w:rPr>
        <w:t>SH</w:t>
      </w:r>
      <w:r w:rsidR="004B2BBF" w:rsidRPr="003D5B4E">
        <w:rPr>
          <w:rFonts w:ascii="Times New Roman" w:hAnsi="Times New Roman" w:cs="Times New Roman"/>
          <w:sz w:val="24"/>
          <w:szCs w:val="24"/>
        </w:rPr>
        <w:t xml:space="preserve"> in organizations are detailed and differentiated, they do not include clear sanctions</w:t>
      </w:r>
      <w:r w:rsidR="00C6659C" w:rsidRPr="003D5B4E">
        <w:rPr>
          <w:rFonts w:ascii="Times New Roman" w:hAnsi="Times New Roman" w:cs="Times New Roman"/>
          <w:sz w:val="24"/>
          <w:szCs w:val="24"/>
        </w:rPr>
        <w:t xml:space="preserve">, </w:t>
      </w:r>
      <w:r w:rsidR="004B2BBF" w:rsidRPr="003D5B4E">
        <w:rPr>
          <w:rFonts w:ascii="Times New Roman" w:hAnsi="Times New Roman" w:cs="Times New Roman"/>
          <w:sz w:val="24"/>
          <w:szCs w:val="24"/>
        </w:rPr>
        <w:t>a definition of organizational wrongdoing</w:t>
      </w:r>
      <w:r w:rsidR="00C6659C" w:rsidRPr="003D5B4E">
        <w:rPr>
          <w:rFonts w:ascii="Times New Roman" w:hAnsi="Times New Roman" w:cs="Times New Roman"/>
          <w:sz w:val="24"/>
          <w:szCs w:val="24"/>
        </w:rPr>
        <w:t xml:space="preserve"> or indicate zero tolerance</w:t>
      </w:r>
      <w:r w:rsidR="004B2BBF" w:rsidRPr="003D5B4E">
        <w:rPr>
          <w:rFonts w:ascii="Times New Roman" w:hAnsi="Times New Roman" w:cs="Times New Roman"/>
          <w:sz w:val="24"/>
          <w:szCs w:val="24"/>
        </w:rPr>
        <w:t>.</w:t>
      </w:r>
    </w:p>
    <w:p w14:paraId="78BBE1AF" w14:textId="60206365" w:rsidR="00EA41EA" w:rsidRPr="003D5B4E" w:rsidRDefault="004B2BBF"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 xml:space="preserve">Policies </w:t>
      </w:r>
      <w:r w:rsidR="00C6659C" w:rsidRPr="003D5B4E">
        <w:rPr>
          <w:rFonts w:ascii="Times New Roman" w:hAnsi="Times New Roman" w:cs="Times New Roman"/>
          <w:sz w:val="24"/>
          <w:szCs w:val="24"/>
        </w:rPr>
        <w:t>cannot stand alone</w:t>
      </w:r>
      <w:r w:rsidRPr="003D5B4E">
        <w:rPr>
          <w:rFonts w:ascii="Times New Roman" w:hAnsi="Times New Roman" w:cs="Times New Roman"/>
          <w:sz w:val="24"/>
          <w:szCs w:val="24"/>
        </w:rPr>
        <w:t xml:space="preserve">. </w:t>
      </w:r>
      <w:r w:rsidR="00EA41EA" w:rsidRPr="003D5B4E">
        <w:rPr>
          <w:rFonts w:ascii="Times New Roman" w:hAnsi="Times New Roman" w:cs="Times New Roman"/>
          <w:sz w:val="24"/>
          <w:szCs w:val="24"/>
        </w:rPr>
        <w:t xml:space="preserve">Training approaches </w:t>
      </w:r>
      <w:r w:rsidRPr="003D5B4E">
        <w:rPr>
          <w:rFonts w:ascii="Times New Roman" w:hAnsi="Times New Roman" w:cs="Times New Roman"/>
          <w:sz w:val="24"/>
          <w:szCs w:val="24"/>
        </w:rPr>
        <w:t xml:space="preserve">are </w:t>
      </w:r>
      <w:r w:rsidR="00C6659C" w:rsidRPr="003D5B4E">
        <w:rPr>
          <w:rFonts w:ascii="Times New Roman" w:hAnsi="Times New Roman" w:cs="Times New Roman"/>
          <w:sz w:val="24"/>
          <w:szCs w:val="24"/>
        </w:rPr>
        <w:t>necessary for individuals</w:t>
      </w:r>
      <w:r w:rsidRPr="003D5B4E">
        <w:rPr>
          <w:rFonts w:ascii="Times New Roman" w:hAnsi="Times New Roman" w:cs="Times New Roman"/>
          <w:sz w:val="24"/>
          <w:szCs w:val="24"/>
        </w:rPr>
        <w:t xml:space="preserve"> to memorize </w:t>
      </w:r>
      <w:r w:rsidR="007D54E2" w:rsidRPr="003D5B4E">
        <w:rPr>
          <w:rFonts w:ascii="Times New Roman" w:hAnsi="Times New Roman" w:cs="Times New Roman"/>
          <w:sz w:val="24"/>
          <w:szCs w:val="24"/>
        </w:rPr>
        <w:t xml:space="preserve">and apply </w:t>
      </w:r>
      <w:r w:rsidRPr="003D5B4E">
        <w:rPr>
          <w:rFonts w:ascii="Times New Roman" w:hAnsi="Times New Roman" w:cs="Times New Roman"/>
          <w:sz w:val="24"/>
          <w:szCs w:val="24"/>
        </w:rPr>
        <w:t xml:space="preserve">policy content. </w:t>
      </w:r>
      <w:r w:rsidR="00C6659C" w:rsidRPr="003D5B4E">
        <w:rPr>
          <w:rFonts w:ascii="Times New Roman" w:hAnsi="Times New Roman" w:cs="Times New Roman"/>
          <w:sz w:val="24"/>
          <w:szCs w:val="24"/>
        </w:rPr>
        <w:t xml:space="preserve">These approaches </w:t>
      </w:r>
      <w:r w:rsidR="00EA41EA" w:rsidRPr="003D5B4E">
        <w:rPr>
          <w:rFonts w:ascii="Times New Roman" w:hAnsi="Times New Roman" w:cs="Times New Roman"/>
          <w:sz w:val="24"/>
          <w:szCs w:val="24"/>
        </w:rPr>
        <w:t xml:space="preserve">should be based on organizational assessments, raise </w:t>
      </w:r>
      <w:r w:rsidR="00DB5DC3" w:rsidRPr="003D5B4E">
        <w:rPr>
          <w:rFonts w:ascii="Times New Roman" w:hAnsi="Times New Roman" w:cs="Times New Roman"/>
          <w:sz w:val="24"/>
          <w:szCs w:val="24"/>
        </w:rPr>
        <w:t>awareness,</w:t>
      </w:r>
      <w:r w:rsidR="00EA41EA" w:rsidRPr="003D5B4E">
        <w:rPr>
          <w:rFonts w:ascii="Times New Roman" w:hAnsi="Times New Roman" w:cs="Times New Roman"/>
          <w:sz w:val="24"/>
          <w:szCs w:val="24"/>
        </w:rPr>
        <w:t xml:space="preserve"> and clarify misconceptions, include conflict management </w:t>
      </w:r>
      <w:r w:rsidR="007D54E2" w:rsidRPr="003D5B4E">
        <w:rPr>
          <w:rFonts w:ascii="Times New Roman" w:hAnsi="Times New Roman" w:cs="Times New Roman"/>
          <w:sz w:val="24"/>
          <w:szCs w:val="24"/>
        </w:rPr>
        <w:t xml:space="preserve">and emotional skills </w:t>
      </w:r>
      <w:r w:rsidR="00EA41EA" w:rsidRPr="003D5B4E">
        <w:rPr>
          <w:rFonts w:ascii="Times New Roman" w:hAnsi="Times New Roman" w:cs="Times New Roman"/>
          <w:sz w:val="24"/>
          <w:szCs w:val="24"/>
        </w:rPr>
        <w:t>for managers, incorporate bystanders, and challenge gendered organizational cultures</w:t>
      </w:r>
      <w:r w:rsidRPr="003D5B4E">
        <w:rPr>
          <w:rFonts w:ascii="Times New Roman" w:hAnsi="Times New Roman" w:cs="Times New Roman"/>
          <w:sz w:val="24"/>
          <w:szCs w:val="24"/>
        </w:rPr>
        <w:t xml:space="preserve"> (McDonald et al., 2015)</w:t>
      </w:r>
      <w:r w:rsidR="00EA41EA" w:rsidRPr="003D5B4E">
        <w:rPr>
          <w:rFonts w:ascii="Times New Roman" w:hAnsi="Times New Roman" w:cs="Times New Roman"/>
          <w:sz w:val="24"/>
          <w:szCs w:val="24"/>
        </w:rPr>
        <w:t xml:space="preserve">. </w:t>
      </w:r>
      <w:r w:rsidR="00C6659C" w:rsidRPr="003D5B4E">
        <w:rPr>
          <w:rFonts w:ascii="Times New Roman" w:hAnsi="Times New Roman" w:cs="Times New Roman"/>
          <w:sz w:val="24"/>
          <w:szCs w:val="24"/>
        </w:rPr>
        <w:t xml:space="preserve">The ESRS recognize that by requiring </w:t>
      </w:r>
      <w:r w:rsidR="0041236F">
        <w:rPr>
          <w:rFonts w:ascii="Times New Roman" w:hAnsi="Times New Roman" w:cs="Times New Roman"/>
          <w:sz w:val="24"/>
          <w:szCs w:val="24"/>
        </w:rPr>
        <w:t>organization</w:t>
      </w:r>
      <w:r w:rsidR="00C6659C" w:rsidRPr="003D5B4E">
        <w:rPr>
          <w:rFonts w:ascii="Times New Roman" w:hAnsi="Times New Roman" w:cs="Times New Roman"/>
          <w:sz w:val="24"/>
          <w:szCs w:val="24"/>
        </w:rPr>
        <w:t>s to:</w:t>
      </w:r>
    </w:p>
    <w:p w14:paraId="390BF896" w14:textId="14929D18" w:rsidR="00C6659C" w:rsidRPr="003D5B4E" w:rsidRDefault="00C6659C"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“[provide] staff training on non-discrimination policies and practices with a particular focus on middle and upper management to raise awareness and address resolution strategies for preventing and addressing systemic and incidental discrimination” (Directive 2023/2772/EU, Application Requirements S1-1, AR 17. (c)).</w:t>
      </w:r>
    </w:p>
    <w:p w14:paraId="198404E1" w14:textId="7B4BA6D0" w:rsidR="00EA41EA" w:rsidRPr="003D5B4E" w:rsidRDefault="004063EB"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Despite the fact that the ESRS require training to prevent discrimination and thus raise awareness of it, the standards have great potential for improvement in this area. The standards do not specify whether the trainings are based on organizational assessments and job specific, thus addressing issues such as conflict management</w:t>
      </w:r>
      <w:r w:rsidR="007D54E2" w:rsidRPr="003D5B4E">
        <w:rPr>
          <w:rFonts w:ascii="Times New Roman" w:hAnsi="Times New Roman" w:cs="Times New Roman"/>
          <w:sz w:val="24"/>
          <w:szCs w:val="24"/>
        </w:rPr>
        <w:t>, emotional skills,</w:t>
      </w:r>
      <w:r w:rsidRPr="003D5B4E">
        <w:rPr>
          <w:rFonts w:ascii="Times New Roman" w:hAnsi="Times New Roman" w:cs="Times New Roman"/>
          <w:sz w:val="24"/>
          <w:szCs w:val="24"/>
        </w:rPr>
        <w:t xml:space="preserve"> and bystander intervention. </w:t>
      </w:r>
    </w:p>
    <w:p w14:paraId="49FDE8DB" w14:textId="77FE6F35" w:rsidR="00EC1F06" w:rsidRPr="003D5B4E" w:rsidRDefault="00EC1F06" w:rsidP="0041236F">
      <w:pPr>
        <w:spacing w:line="480" w:lineRule="auto"/>
        <w:rPr>
          <w:rFonts w:ascii="Times New Roman" w:hAnsi="Times New Roman" w:cs="Times New Roman"/>
          <w:i/>
          <w:iCs/>
          <w:sz w:val="24"/>
          <w:szCs w:val="24"/>
        </w:rPr>
      </w:pPr>
      <w:r w:rsidRPr="003D5B4E">
        <w:rPr>
          <w:rFonts w:ascii="Times New Roman" w:hAnsi="Times New Roman" w:cs="Times New Roman"/>
          <w:i/>
          <w:iCs/>
          <w:sz w:val="24"/>
          <w:szCs w:val="24"/>
        </w:rPr>
        <w:t>Secondary Intervention</w:t>
      </w:r>
    </w:p>
    <w:p w14:paraId="698A5B01" w14:textId="603A8066" w:rsidR="007D54E2" w:rsidRPr="003D5B4E" w:rsidRDefault="00D45D1D"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Secondary intervention refers to immediate actions taken after an incidents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to prevent further perpetration and address short-term consequences, including victimization (McDonald et al., 2015). </w:t>
      </w:r>
      <w:r w:rsidR="00990B22" w:rsidRPr="003D5B4E">
        <w:rPr>
          <w:rFonts w:ascii="Times New Roman" w:hAnsi="Times New Roman" w:cs="Times New Roman"/>
          <w:sz w:val="24"/>
          <w:szCs w:val="24"/>
        </w:rPr>
        <w:t>O</w:t>
      </w:r>
      <w:r w:rsidRPr="003D5B4E">
        <w:rPr>
          <w:rFonts w:ascii="Times New Roman" w:hAnsi="Times New Roman" w:cs="Times New Roman"/>
          <w:sz w:val="24"/>
          <w:szCs w:val="24"/>
        </w:rPr>
        <w:t xml:space="preserve">rganizational grievance procedures </w:t>
      </w:r>
      <w:r w:rsidR="00990B22" w:rsidRPr="003D5B4E">
        <w:rPr>
          <w:rFonts w:ascii="Times New Roman" w:hAnsi="Times New Roman" w:cs="Times New Roman"/>
          <w:sz w:val="24"/>
          <w:szCs w:val="24"/>
        </w:rPr>
        <w:t>are</w:t>
      </w:r>
      <w:r w:rsidRPr="003D5B4E">
        <w:rPr>
          <w:rFonts w:ascii="Times New Roman" w:hAnsi="Times New Roman" w:cs="Times New Roman"/>
          <w:sz w:val="24"/>
          <w:szCs w:val="24"/>
        </w:rPr>
        <w:t xml:space="preserve"> the primary method for victims to enforce their rights</w:t>
      </w:r>
      <w:r w:rsidR="00990B22" w:rsidRPr="003D5B4E">
        <w:rPr>
          <w:rFonts w:ascii="Times New Roman" w:hAnsi="Times New Roman" w:cs="Times New Roman"/>
          <w:sz w:val="24"/>
          <w:szCs w:val="24"/>
        </w:rPr>
        <w:t xml:space="preserve">. However, </w:t>
      </w:r>
      <w:r w:rsidRPr="003D5B4E">
        <w:rPr>
          <w:rFonts w:ascii="Times New Roman" w:hAnsi="Times New Roman" w:cs="Times New Roman"/>
          <w:sz w:val="24"/>
          <w:szCs w:val="24"/>
        </w:rPr>
        <w:t xml:space="preserve">they often fail to effectively address complaints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w:t>
      </w:r>
      <w:r w:rsidR="00990B22" w:rsidRPr="003D5B4E">
        <w:rPr>
          <w:rFonts w:ascii="Times New Roman" w:hAnsi="Times New Roman" w:cs="Times New Roman"/>
          <w:sz w:val="24"/>
          <w:szCs w:val="24"/>
        </w:rPr>
        <w:t xml:space="preserve"> </w:t>
      </w:r>
      <w:r w:rsidRPr="003D5B4E">
        <w:rPr>
          <w:rFonts w:ascii="Times New Roman" w:hAnsi="Times New Roman" w:cs="Times New Roman"/>
          <w:sz w:val="24"/>
          <w:szCs w:val="24"/>
        </w:rPr>
        <w:t xml:space="preserve">To </w:t>
      </w:r>
      <w:r w:rsidR="00990B22" w:rsidRPr="003D5B4E">
        <w:rPr>
          <w:rFonts w:ascii="Times New Roman" w:hAnsi="Times New Roman" w:cs="Times New Roman"/>
          <w:sz w:val="24"/>
          <w:szCs w:val="24"/>
        </w:rPr>
        <w:t>address</w:t>
      </w:r>
      <w:r w:rsidRPr="003D5B4E">
        <w:rPr>
          <w:rFonts w:ascii="Times New Roman" w:hAnsi="Times New Roman" w:cs="Times New Roman"/>
          <w:sz w:val="24"/>
          <w:szCs w:val="24"/>
        </w:rPr>
        <w:t xml:space="preserve"> reporting challenges, recommendations for secondary prevention include </w:t>
      </w:r>
      <w:r w:rsidR="00990B22" w:rsidRPr="003D5B4E">
        <w:rPr>
          <w:rFonts w:ascii="Times New Roman" w:hAnsi="Times New Roman" w:cs="Times New Roman"/>
          <w:sz w:val="24"/>
          <w:szCs w:val="24"/>
        </w:rPr>
        <w:t>implementing appropriate</w:t>
      </w:r>
      <w:r w:rsidRPr="003D5B4E">
        <w:rPr>
          <w:rFonts w:ascii="Times New Roman" w:hAnsi="Times New Roman" w:cs="Times New Roman"/>
          <w:sz w:val="24"/>
          <w:szCs w:val="24"/>
        </w:rPr>
        <w:t xml:space="preserve"> managerial responses, </w:t>
      </w:r>
      <w:r w:rsidR="00990B22" w:rsidRPr="003D5B4E">
        <w:rPr>
          <w:rFonts w:ascii="Times New Roman" w:hAnsi="Times New Roman" w:cs="Times New Roman"/>
          <w:sz w:val="24"/>
          <w:szCs w:val="24"/>
        </w:rPr>
        <w:t xml:space="preserve">providing </w:t>
      </w:r>
      <w:r w:rsidRPr="003D5B4E">
        <w:rPr>
          <w:rFonts w:ascii="Times New Roman" w:hAnsi="Times New Roman" w:cs="Times New Roman"/>
          <w:sz w:val="24"/>
          <w:szCs w:val="24"/>
        </w:rPr>
        <w:t xml:space="preserve">multiple reporting channels, </w:t>
      </w:r>
      <w:r w:rsidR="00990B22" w:rsidRPr="003D5B4E">
        <w:rPr>
          <w:rFonts w:ascii="Times New Roman" w:hAnsi="Times New Roman" w:cs="Times New Roman"/>
          <w:sz w:val="24"/>
          <w:szCs w:val="24"/>
        </w:rPr>
        <w:t xml:space="preserve">conducting </w:t>
      </w:r>
      <w:r w:rsidRPr="003D5B4E">
        <w:rPr>
          <w:rFonts w:ascii="Times New Roman" w:hAnsi="Times New Roman" w:cs="Times New Roman"/>
          <w:sz w:val="24"/>
          <w:szCs w:val="24"/>
        </w:rPr>
        <w:t xml:space="preserve">timely investigations, </w:t>
      </w:r>
      <w:r w:rsidR="00990B22" w:rsidRPr="003D5B4E">
        <w:rPr>
          <w:rFonts w:ascii="Times New Roman" w:hAnsi="Times New Roman" w:cs="Times New Roman"/>
          <w:sz w:val="24"/>
          <w:szCs w:val="24"/>
        </w:rPr>
        <w:t xml:space="preserve">imposing </w:t>
      </w:r>
      <w:r w:rsidRPr="003D5B4E">
        <w:rPr>
          <w:rFonts w:ascii="Times New Roman" w:hAnsi="Times New Roman" w:cs="Times New Roman"/>
          <w:sz w:val="24"/>
          <w:szCs w:val="24"/>
        </w:rPr>
        <w:t xml:space="preserve">sanctions, </w:t>
      </w:r>
      <w:r w:rsidR="00990B22" w:rsidRPr="003D5B4E">
        <w:rPr>
          <w:rFonts w:ascii="Times New Roman" w:hAnsi="Times New Roman" w:cs="Times New Roman"/>
          <w:sz w:val="24"/>
          <w:szCs w:val="24"/>
        </w:rPr>
        <w:t xml:space="preserve">offering </w:t>
      </w:r>
      <w:r w:rsidRPr="003D5B4E">
        <w:rPr>
          <w:rFonts w:ascii="Times New Roman" w:hAnsi="Times New Roman" w:cs="Times New Roman"/>
          <w:sz w:val="24"/>
          <w:szCs w:val="24"/>
        </w:rPr>
        <w:t>mediation</w:t>
      </w:r>
      <w:r w:rsidR="00990B22" w:rsidRPr="003D5B4E">
        <w:rPr>
          <w:rFonts w:ascii="Times New Roman" w:hAnsi="Times New Roman" w:cs="Times New Roman"/>
          <w:sz w:val="24"/>
          <w:szCs w:val="24"/>
        </w:rPr>
        <w:t>, and protecting the complainant</w:t>
      </w:r>
      <w:r w:rsidRPr="003D5B4E">
        <w:rPr>
          <w:rFonts w:ascii="Times New Roman" w:hAnsi="Times New Roman" w:cs="Times New Roman"/>
          <w:sz w:val="24"/>
          <w:szCs w:val="24"/>
        </w:rPr>
        <w:t xml:space="preserve">. </w:t>
      </w:r>
      <w:r w:rsidR="00990B22" w:rsidRPr="003D5B4E">
        <w:rPr>
          <w:rFonts w:ascii="Times New Roman" w:hAnsi="Times New Roman" w:cs="Times New Roman"/>
          <w:sz w:val="24"/>
          <w:szCs w:val="24"/>
        </w:rPr>
        <w:t xml:space="preserve">Managers and bystanders can be incentivized and rewarded for correctly handling and </w:t>
      </w:r>
      <w:r w:rsidR="00990B22" w:rsidRPr="003D5B4E">
        <w:rPr>
          <w:rFonts w:ascii="Times New Roman" w:hAnsi="Times New Roman" w:cs="Times New Roman"/>
          <w:sz w:val="24"/>
          <w:szCs w:val="24"/>
        </w:rPr>
        <w:lastRenderedPageBreak/>
        <w:t xml:space="preserve">intervening in </w:t>
      </w:r>
      <w:r w:rsidR="0085338E" w:rsidRPr="003D5B4E">
        <w:rPr>
          <w:rFonts w:ascii="Times New Roman" w:hAnsi="Times New Roman" w:cs="Times New Roman"/>
          <w:sz w:val="24"/>
          <w:szCs w:val="24"/>
        </w:rPr>
        <w:t>victimization of complainants</w:t>
      </w:r>
      <w:r w:rsidR="00990B22" w:rsidRPr="003D5B4E">
        <w:rPr>
          <w:rFonts w:ascii="Times New Roman" w:hAnsi="Times New Roman" w:cs="Times New Roman"/>
          <w:sz w:val="24"/>
          <w:szCs w:val="24"/>
        </w:rPr>
        <w:t>.</w:t>
      </w:r>
      <w:r w:rsidR="0038598F" w:rsidRPr="003D5B4E">
        <w:rPr>
          <w:rFonts w:ascii="Times New Roman" w:hAnsi="Times New Roman" w:cs="Times New Roman"/>
          <w:sz w:val="24"/>
          <w:szCs w:val="24"/>
        </w:rPr>
        <w:t xml:space="preserve"> The ESRS emphasize the significance of secondary intervention by mandating that </w:t>
      </w:r>
      <w:r w:rsidR="0041236F">
        <w:rPr>
          <w:rFonts w:ascii="Times New Roman" w:hAnsi="Times New Roman" w:cs="Times New Roman"/>
          <w:sz w:val="24"/>
          <w:szCs w:val="24"/>
        </w:rPr>
        <w:t>organization</w:t>
      </w:r>
      <w:r w:rsidR="0038598F" w:rsidRPr="003D5B4E">
        <w:rPr>
          <w:rFonts w:ascii="Times New Roman" w:hAnsi="Times New Roman" w:cs="Times New Roman"/>
          <w:sz w:val="24"/>
          <w:szCs w:val="24"/>
        </w:rPr>
        <w:t>s:</w:t>
      </w:r>
    </w:p>
    <w:p w14:paraId="7F987946" w14:textId="6054F7B0" w:rsidR="0038598F" w:rsidRPr="003D5B4E" w:rsidRDefault="0038598F"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 shall describe the processes [they have] in place to provide for or cooperate in the remediation of negative impacts on people in [their] own workforce that the [</w:t>
      </w:r>
      <w:r w:rsidR="0041236F">
        <w:rPr>
          <w:rFonts w:ascii="Times New Roman" w:hAnsi="Times New Roman" w:cs="Times New Roman"/>
          <w:sz w:val="24"/>
          <w:szCs w:val="24"/>
        </w:rPr>
        <w:t>organization</w:t>
      </w:r>
      <w:r w:rsidRPr="003D5B4E">
        <w:rPr>
          <w:rFonts w:ascii="Times New Roman" w:hAnsi="Times New Roman" w:cs="Times New Roman"/>
          <w:sz w:val="24"/>
          <w:szCs w:val="24"/>
        </w:rPr>
        <w:t>s are] connected with, as well as channels available to [their] own workforce to raise concerns and have them addressed.</w:t>
      </w:r>
      <w:r w:rsidR="00933292" w:rsidRPr="003D5B4E">
        <w:rPr>
          <w:rFonts w:ascii="Times New Roman" w:hAnsi="Times New Roman" w:cs="Times New Roman"/>
          <w:sz w:val="24"/>
          <w:szCs w:val="24"/>
        </w:rPr>
        <w:t>” and</w:t>
      </w:r>
    </w:p>
    <w:p w14:paraId="68271DD6" w14:textId="0CDBA9B8" w:rsidR="00990B22" w:rsidRPr="003D5B4E" w:rsidRDefault="0038598F" w:rsidP="0041236F">
      <w:pPr>
        <w:spacing w:line="480" w:lineRule="auto"/>
        <w:ind w:left="284"/>
        <w:jc w:val="both"/>
        <w:rPr>
          <w:rFonts w:ascii="Times New Roman" w:hAnsi="Times New Roman" w:cs="Times New Roman"/>
          <w:sz w:val="24"/>
          <w:szCs w:val="24"/>
        </w:rPr>
      </w:pPr>
      <w:r w:rsidRPr="003D5B4E">
        <w:rPr>
          <w:rFonts w:ascii="Times New Roman" w:hAnsi="Times New Roman" w:cs="Times New Roman"/>
          <w:sz w:val="24"/>
          <w:szCs w:val="24"/>
        </w:rPr>
        <w:t>“[…] shall disclose the number of work-related incidents and/or complaints and severe human rights impacts within its own workforce, and any related material fines, sanctions or compensation for the reporting period.”</w:t>
      </w:r>
      <w:r w:rsidR="00933292" w:rsidRPr="003D5B4E">
        <w:rPr>
          <w:rFonts w:ascii="Times New Roman" w:hAnsi="Times New Roman" w:cs="Times New Roman"/>
          <w:sz w:val="24"/>
          <w:szCs w:val="24"/>
        </w:rPr>
        <w:t xml:space="preserve"> (Directive 2023/2772/EU, Disclosure Requirement S1-3, 30. and S1-17, 100.)</w:t>
      </w:r>
    </w:p>
    <w:p w14:paraId="4213D0DD" w14:textId="6B0A83E0" w:rsidR="00993570" w:rsidRPr="003D5B4E" w:rsidRDefault="006D7252"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ESRS require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to have available and transparent complaint-handling processes. </w:t>
      </w:r>
      <w:r w:rsidR="00096538" w:rsidRPr="003D5B4E">
        <w:rPr>
          <w:rFonts w:ascii="Times New Roman" w:hAnsi="Times New Roman" w:cs="Times New Roman"/>
          <w:sz w:val="24"/>
          <w:szCs w:val="24"/>
        </w:rPr>
        <w:t>Additionally</w:t>
      </w:r>
      <w:r w:rsidRPr="003D5B4E">
        <w:rPr>
          <w:rFonts w:ascii="Times New Roman" w:hAnsi="Times New Roman" w:cs="Times New Roman"/>
          <w:sz w:val="24"/>
          <w:szCs w:val="24"/>
        </w:rPr>
        <w:t xml:space="preserve">, they mandate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to disclose their complaint processes and outcomes as well as the awareness and trust of employees in these. To explain how employers ensure that their employees are aware of and trust the complaint channels, they may provide reliable data on the effectiveness of these channels based on surveys of employees who have used the complaint channels and their satisfaction levels with the process and outcomes. </w:t>
      </w:r>
      <w:r w:rsidR="00887849" w:rsidRPr="003D5B4E">
        <w:rPr>
          <w:rFonts w:ascii="Times New Roman" w:hAnsi="Times New Roman" w:cs="Times New Roman"/>
          <w:sz w:val="24"/>
          <w:szCs w:val="24"/>
        </w:rPr>
        <w:t xml:space="preserve">Furthermore, </w:t>
      </w:r>
      <w:r w:rsidR="0041236F">
        <w:rPr>
          <w:rFonts w:ascii="Times New Roman" w:hAnsi="Times New Roman" w:cs="Times New Roman"/>
          <w:sz w:val="24"/>
          <w:szCs w:val="24"/>
        </w:rPr>
        <w:t>organization</w:t>
      </w:r>
      <w:r w:rsidR="00887849" w:rsidRPr="003D5B4E">
        <w:rPr>
          <w:rFonts w:ascii="Times New Roman" w:hAnsi="Times New Roman" w:cs="Times New Roman"/>
          <w:sz w:val="24"/>
          <w:szCs w:val="24"/>
        </w:rPr>
        <w:t xml:space="preserve">s must disclose how they track and monitor the issues that have been raised. </w:t>
      </w:r>
      <w:r w:rsidR="006702B4" w:rsidRPr="003D5B4E">
        <w:rPr>
          <w:rFonts w:ascii="Times New Roman" w:hAnsi="Times New Roman" w:cs="Times New Roman"/>
          <w:sz w:val="24"/>
          <w:szCs w:val="24"/>
        </w:rPr>
        <w:t xml:space="preserve">Although the ESRS follows a best-practice approach to complaints management, it is important to communicate about its processes, </w:t>
      </w:r>
      <w:r w:rsidR="00DB5DC3" w:rsidRPr="003D5B4E">
        <w:rPr>
          <w:rFonts w:ascii="Times New Roman" w:hAnsi="Times New Roman" w:cs="Times New Roman"/>
          <w:sz w:val="24"/>
          <w:szCs w:val="24"/>
        </w:rPr>
        <w:t>effectiveness,</w:t>
      </w:r>
      <w:r w:rsidR="006702B4" w:rsidRPr="003D5B4E">
        <w:rPr>
          <w:rFonts w:ascii="Times New Roman" w:hAnsi="Times New Roman" w:cs="Times New Roman"/>
          <w:sz w:val="24"/>
          <w:szCs w:val="24"/>
        </w:rPr>
        <w:t xml:space="preserve"> and complainant satisfaction through informal internal channels in addition to the management report. This is because trust and sensitivity are crucial in complaints management to avoid inefficiency. Therefore, we recommend that employees receive mandatory training sessions to become aware of and trained in the complaints processes.</w:t>
      </w:r>
    </w:p>
    <w:p w14:paraId="207D35C1" w14:textId="79F9CFA5" w:rsidR="006702B4" w:rsidRPr="003D5B4E" w:rsidRDefault="00887849"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lastRenderedPageBreak/>
        <w:t xml:space="preserve">In terms of protecting complainants, the ESRS require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to disclose their policies. The ESRS recommend that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w:t>
      </w:r>
      <w:r w:rsidR="00096538" w:rsidRPr="003D5B4E">
        <w:rPr>
          <w:rFonts w:ascii="Times New Roman" w:hAnsi="Times New Roman" w:cs="Times New Roman"/>
          <w:sz w:val="24"/>
          <w:szCs w:val="24"/>
        </w:rPr>
        <w:t>adhere to</w:t>
      </w:r>
      <w:r w:rsidRPr="003D5B4E">
        <w:rPr>
          <w:rFonts w:ascii="Times New Roman" w:hAnsi="Times New Roman" w:cs="Times New Roman"/>
          <w:sz w:val="24"/>
          <w:szCs w:val="24"/>
        </w:rPr>
        <w:t xml:space="preserve"> the UN Guiding Principles on Business and Human Rights and the OECD Due Diligence Guidance for Responsible Business Conduct. The ESRS proposes remedial action for both the perpetrator and the victim. If victims have incurred any expenses due to harassment, they may be entitled to reimbursement for counseling sessions, paid time off, and the reinstatement of sick/vacation days. Perpetrators may face disciplinary action, including verbal and/or written warnings, mandatory anti-harassment counseling or attendance at an appropriate seminar, harassment awareness and prevention training, suspension without pay, and more serious consequences if the perpetrator has been disciplined previously. </w:t>
      </w:r>
      <w:r w:rsidR="006702B4" w:rsidRPr="003D5B4E">
        <w:rPr>
          <w:rFonts w:ascii="Times New Roman" w:hAnsi="Times New Roman" w:cs="Times New Roman"/>
          <w:sz w:val="24"/>
          <w:szCs w:val="24"/>
        </w:rPr>
        <w:t xml:space="preserve">Even if the harassing behavior stops after measures such as warnings, seminars, or training, it can still be stressful for victims to continue working with the former perpetrator. Victims often change jobs after experiencing </w:t>
      </w:r>
      <w:r w:rsidR="00103072" w:rsidRPr="003D5B4E">
        <w:rPr>
          <w:rFonts w:ascii="Times New Roman" w:hAnsi="Times New Roman" w:cs="Times New Roman"/>
          <w:sz w:val="24"/>
          <w:szCs w:val="24"/>
        </w:rPr>
        <w:t>SH</w:t>
      </w:r>
      <w:r w:rsidR="006702B4" w:rsidRPr="003D5B4E">
        <w:rPr>
          <w:rFonts w:ascii="Times New Roman" w:hAnsi="Times New Roman" w:cs="Times New Roman"/>
          <w:sz w:val="24"/>
          <w:szCs w:val="24"/>
        </w:rPr>
        <w:t xml:space="preserve"> and, in some cases, accept career disadvantages, while perpetrators are less likely to change jobs (e.g., Willness et al., 2007). Therefore, measures such as transfer should not only be reserved for repeat perpetrators.</w:t>
      </w:r>
    </w:p>
    <w:p w14:paraId="0306284E" w14:textId="31CD1F0E" w:rsidR="006D7252" w:rsidRPr="003D5B4E" w:rsidRDefault="00887849"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By requiring </w:t>
      </w:r>
      <w:r w:rsidR="0041236F">
        <w:rPr>
          <w:rFonts w:ascii="Times New Roman" w:hAnsi="Times New Roman" w:cs="Times New Roman"/>
          <w:sz w:val="24"/>
          <w:szCs w:val="24"/>
        </w:rPr>
        <w:t>organization</w:t>
      </w:r>
      <w:r w:rsidRPr="003D5B4E">
        <w:rPr>
          <w:rFonts w:ascii="Times New Roman" w:hAnsi="Times New Roman" w:cs="Times New Roman"/>
          <w:sz w:val="24"/>
          <w:szCs w:val="24"/>
        </w:rPr>
        <w:t>s to disclose work-related incidents and/or complaints, they allow all stakeholders to understand the impacts affecting their workforce. The standards emphasize that disclosure must be made regarding harassment incidents. Specifically, the ESRS require information on the total number of incidents, the number of complaints filed through existing channels and grievance mechanisms, and the sanctions resulting from the incidents.</w:t>
      </w:r>
      <w:r w:rsidR="0085338E" w:rsidRPr="003D5B4E">
        <w:rPr>
          <w:rFonts w:ascii="Times New Roman" w:hAnsi="Times New Roman" w:cs="Times New Roman"/>
          <w:sz w:val="24"/>
          <w:szCs w:val="24"/>
        </w:rPr>
        <w:t xml:space="preserve"> </w:t>
      </w:r>
    </w:p>
    <w:p w14:paraId="4C8B1353" w14:textId="77777777" w:rsidR="0085338E" w:rsidRDefault="0085338E"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We suggest that an important stakeholder group is missing from the ESRS – managers who may witness victimization of complainants. Managers should be trained to identify and respond appropriately to victimization. In addition, it is important to reward managers and bystanders who respond appropriately when witnessing victimization.</w:t>
      </w:r>
    </w:p>
    <w:p w14:paraId="13955FB0" w14:textId="77777777" w:rsidR="003539C8" w:rsidRPr="003D5B4E" w:rsidRDefault="003539C8" w:rsidP="0041236F">
      <w:pPr>
        <w:spacing w:line="480" w:lineRule="auto"/>
        <w:jc w:val="both"/>
        <w:rPr>
          <w:rFonts w:ascii="Times New Roman" w:hAnsi="Times New Roman" w:cs="Times New Roman"/>
          <w:sz w:val="24"/>
          <w:szCs w:val="24"/>
        </w:rPr>
      </w:pPr>
    </w:p>
    <w:p w14:paraId="019C540F" w14:textId="546CBF6B" w:rsidR="00EC1F06" w:rsidRPr="003D5B4E" w:rsidRDefault="00EC1F06" w:rsidP="0041236F">
      <w:pPr>
        <w:spacing w:line="480" w:lineRule="auto"/>
        <w:jc w:val="both"/>
        <w:rPr>
          <w:rFonts w:ascii="Times New Roman" w:hAnsi="Times New Roman" w:cs="Times New Roman"/>
          <w:i/>
          <w:iCs/>
          <w:sz w:val="24"/>
          <w:szCs w:val="24"/>
        </w:rPr>
      </w:pPr>
      <w:r w:rsidRPr="003D5B4E">
        <w:rPr>
          <w:rFonts w:ascii="Times New Roman" w:hAnsi="Times New Roman" w:cs="Times New Roman"/>
          <w:i/>
          <w:iCs/>
          <w:sz w:val="24"/>
          <w:szCs w:val="24"/>
        </w:rPr>
        <w:lastRenderedPageBreak/>
        <w:t xml:space="preserve">Tertiary Intervention </w:t>
      </w:r>
    </w:p>
    <w:p w14:paraId="464D7E93" w14:textId="68FA7150" w:rsidR="008E3C36" w:rsidRPr="003D5B4E" w:rsidRDefault="00B2019F"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Tertiary interventions are implemented after an incident of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has occurred to address lasting consequences, minimize its impact, restore health and safety, and prevent further perpetration and victimization (McDonald et al., 2015). These interventions are relevant to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due to the significant negative psychological, health, and job-related consequences experienced by targets.</w:t>
      </w:r>
      <w:r w:rsidR="0081797A" w:rsidRPr="003D5B4E">
        <w:rPr>
          <w:rFonts w:ascii="Times New Roman" w:hAnsi="Times New Roman" w:cs="Times New Roman"/>
          <w:sz w:val="24"/>
          <w:szCs w:val="24"/>
        </w:rPr>
        <w:t xml:space="preserve"> The existing literature has largely neglected longer-term interventions, emphasizing policy and training (primary intervention) and short-term responses (secondary intervention). It is necessary to balance these current emphases with strategies that address the significant longer-term damage caused by SH. </w:t>
      </w:r>
    </w:p>
    <w:p w14:paraId="01B51AA7" w14:textId="5D76443B" w:rsidR="008861FD" w:rsidRDefault="00B0325A"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Similar to the literature, the ESRS only weakly include tertiary intervention measures. Due to the nature of sustainability reporting in the management report, policies and underlying laws require regular revision. This information must be published annually and externally audited, obliging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to review and update their policies at least once a year in accordance with laws. Regarding further tertiary intervention measures, we suggest that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use the work they have already done as required by the ESRS to train employees on evidence-based approaches to </w:t>
      </w:r>
      <w:r w:rsidR="00103072" w:rsidRPr="003D5B4E">
        <w:rPr>
          <w:rFonts w:ascii="Times New Roman" w:hAnsi="Times New Roman" w:cs="Times New Roman"/>
          <w:sz w:val="24"/>
          <w:szCs w:val="24"/>
        </w:rPr>
        <w:t>SH</w:t>
      </w:r>
      <w:r w:rsidRPr="003D5B4E">
        <w:rPr>
          <w:rFonts w:ascii="Times New Roman" w:hAnsi="Times New Roman" w:cs="Times New Roman"/>
          <w:sz w:val="24"/>
          <w:szCs w:val="24"/>
        </w:rPr>
        <w:t xml:space="preserve"> intervention, emotional skills, conflict management, victimization, and grievance mechanisms. Additionally, they should communicate findings and actions taken internally using completed complaint processes to increase trust within the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 Special attention should be given to protecting personal rights and the victims to ensure that these measures do not have any negative consequences. To ensure an inclusive and benevolent work environment, </w:t>
      </w:r>
      <w:r w:rsidR="0041236F">
        <w:rPr>
          <w:rFonts w:ascii="Times New Roman" w:hAnsi="Times New Roman" w:cs="Times New Roman"/>
          <w:sz w:val="24"/>
          <w:szCs w:val="24"/>
        </w:rPr>
        <w:t>organization</w:t>
      </w:r>
      <w:r w:rsidRPr="003D5B4E">
        <w:rPr>
          <w:rFonts w:ascii="Times New Roman" w:hAnsi="Times New Roman" w:cs="Times New Roman"/>
          <w:sz w:val="24"/>
          <w:szCs w:val="24"/>
        </w:rPr>
        <w:t xml:space="preserve">s should provide long-term support to assist victims and offer extended victimization protection. Finally, practices that discriminate </w:t>
      </w:r>
      <w:proofErr w:type="gramStart"/>
      <w:r w:rsidRPr="003D5B4E">
        <w:rPr>
          <w:rFonts w:ascii="Times New Roman" w:hAnsi="Times New Roman" w:cs="Times New Roman"/>
          <w:sz w:val="24"/>
          <w:szCs w:val="24"/>
        </w:rPr>
        <w:t>on the basis of</w:t>
      </w:r>
      <w:proofErr w:type="gramEnd"/>
      <w:r w:rsidRPr="003D5B4E">
        <w:rPr>
          <w:rFonts w:ascii="Times New Roman" w:hAnsi="Times New Roman" w:cs="Times New Roman"/>
          <w:sz w:val="24"/>
          <w:szCs w:val="24"/>
        </w:rPr>
        <w:t xml:space="preserve"> sex should be monitored.</w:t>
      </w:r>
    </w:p>
    <w:p w14:paraId="50B00DF8" w14:textId="77777777" w:rsidR="003539C8" w:rsidRPr="003D5B4E" w:rsidRDefault="003539C8" w:rsidP="0041236F">
      <w:pPr>
        <w:spacing w:line="480" w:lineRule="auto"/>
        <w:jc w:val="both"/>
        <w:rPr>
          <w:rFonts w:ascii="Times New Roman" w:hAnsi="Times New Roman" w:cs="Times New Roman"/>
          <w:sz w:val="24"/>
          <w:szCs w:val="24"/>
        </w:rPr>
      </w:pPr>
    </w:p>
    <w:p w14:paraId="34F27B61" w14:textId="77777777" w:rsidR="008861FD" w:rsidRPr="003D5B4E" w:rsidRDefault="008861FD" w:rsidP="0041236F">
      <w:pPr>
        <w:spacing w:line="480" w:lineRule="auto"/>
        <w:jc w:val="both"/>
        <w:rPr>
          <w:rFonts w:ascii="Times New Roman" w:hAnsi="Times New Roman" w:cs="Times New Roman"/>
          <w:i/>
          <w:iCs/>
          <w:sz w:val="24"/>
          <w:szCs w:val="24"/>
        </w:rPr>
      </w:pPr>
      <w:r w:rsidRPr="003D5B4E">
        <w:rPr>
          <w:rFonts w:ascii="Times New Roman" w:hAnsi="Times New Roman" w:cs="Times New Roman"/>
          <w:i/>
          <w:iCs/>
          <w:sz w:val="24"/>
          <w:szCs w:val="24"/>
        </w:rPr>
        <w:lastRenderedPageBreak/>
        <w:t>Discussion</w:t>
      </w:r>
    </w:p>
    <w:p w14:paraId="275AC06D" w14:textId="7C82BEA2" w:rsidR="0096514A" w:rsidRPr="003D5B4E" w:rsidRDefault="0041236F" w:rsidP="0041236F">
      <w:pPr>
        <w:spacing w:line="480" w:lineRule="auto"/>
        <w:jc w:val="both"/>
        <w:rPr>
          <w:rFonts w:ascii="Times New Roman" w:hAnsi="Times New Roman" w:cs="Times New Roman"/>
          <w:sz w:val="24"/>
          <w:szCs w:val="24"/>
        </w:rPr>
      </w:pPr>
      <w:r>
        <w:rPr>
          <w:rFonts w:ascii="Times New Roman" w:hAnsi="Times New Roman" w:cs="Times New Roman"/>
          <w:sz w:val="24"/>
          <w:szCs w:val="24"/>
        </w:rPr>
        <w:t>O</w:t>
      </w:r>
      <w:r w:rsidR="006040A9" w:rsidRPr="003D5B4E">
        <w:rPr>
          <w:rFonts w:ascii="Times New Roman" w:hAnsi="Times New Roman" w:cs="Times New Roman"/>
          <w:sz w:val="24"/>
          <w:szCs w:val="24"/>
        </w:rPr>
        <w:t>ur theoretical review provide</w:t>
      </w:r>
      <w:r>
        <w:rPr>
          <w:rFonts w:ascii="Times New Roman" w:hAnsi="Times New Roman" w:cs="Times New Roman"/>
          <w:sz w:val="24"/>
          <w:szCs w:val="24"/>
        </w:rPr>
        <w:t>s</w:t>
      </w:r>
      <w:r w:rsidR="006040A9" w:rsidRPr="003D5B4E">
        <w:rPr>
          <w:rFonts w:ascii="Times New Roman" w:hAnsi="Times New Roman" w:cs="Times New Roman"/>
          <w:sz w:val="24"/>
          <w:szCs w:val="24"/>
        </w:rPr>
        <w:t xml:space="preserve"> the basis for several well-founded suggestions regarding sustainability reporting effectiveness. First, we expand on the comprehensive framework on prevention and response strategies by incorporating bystander intervention and several state-of-the-art findings. Secondly, we assess the potential of the CSRD and ESRS in addressing </w:t>
      </w:r>
      <w:r w:rsidR="00103072" w:rsidRPr="003D5B4E">
        <w:rPr>
          <w:rFonts w:ascii="Times New Roman" w:hAnsi="Times New Roman" w:cs="Times New Roman"/>
          <w:sz w:val="24"/>
          <w:szCs w:val="24"/>
        </w:rPr>
        <w:t>SH</w:t>
      </w:r>
      <w:r w:rsidR="006040A9" w:rsidRPr="003D5B4E">
        <w:rPr>
          <w:rFonts w:ascii="Times New Roman" w:hAnsi="Times New Roman" w:cs="Times New Roman"/>
          <w:sz w:val="24"/>
          <w:szCs w:val="24"/>
        </w:rPr>
        <w:t xml:space="preserve"> in the workplace. Our ex-ante impact assessment indicates that the ESRS necessitate a comprehensive set of measures to be implemented and disclosed by </w:t>
      </w:r>
      <w:r>
        <w:rPr>
          <w:rFonts w:ascii="Times New Roman" w:hAnsi="Times New Roman" w:cs="Times New Roman"/>
          <w:sz w:val="24"/>
          <w:szCs w:val="24"/>
        </w:rPr>
        <w:t>organization</w:t>
      </w:r>
      <w:r w:rsidR="006040A9" w:rsidRPr="003D5B4E">
        <w:rPr>
          <w:rFonts w:ascii="Times New Roman" w:hAnsi="Times New Roman" w:cs="Times New Roman"/>
          <w:sz w:val="24"/>
          <w:szCs w:val="24"/>
        </w:rPr>
        <w:t xml:space="preserve">s to foster inclusive and benevolent work environments. The ESRS provide a </w:t>
      </w:r>
      <w:r w:rsidR="00A80F83" w:rsidRPr="003D5B4E">
        <w:rPr>
          <w:rFonts w:ascii="Times New Roman" w:hAnsi="Times New Roman" w:cs="Times New Roman"/>
          <w:sz w:val="24"/>
          <w:szCs w:val="24"/>
        </w:rPr>
        <w:t xml:space="preserve">comprehensive definition of </w:t>
      </w:r>
      <w:r w:rsidR="00103072" w:rsidRPr="003D5B4E">
        <w:rPr>
          <w:rFonts w:ascii="Times New Roman" w:hAnsi="Times New Roman" w:cs="Times New Roman"/>
          <w:sz w:val="24"/>
          <w:szCs w:val="24"/>
        </w:rPr>
        <w:t>SH</w:t>
      </w:r>
      <w:r w:rsidR="00A80F83" w:rsidRPr="003D5B4E">
        <w:rPr>
          <w:rFonts w:ascii="Times New Roman" w:hAnsi="Times New Roman" w:cs="Times New Roman"/>
          <w:sz w:val="24"/>
          <w:szCs w:val="24"/>
        </w:rPr>
        <w:t xml:space="preserve"> that aligns with other institutions. However, scholars argue that definitions of </w:t>
      </w:r>
      <w:r w:rsidR="00103072" w:rsidRPr="003D5B4E">
        <w:rPr>
          <w:rFonts w:ascii="Times New Roman" w:hAnsi="Times New Roman" w:cs="Times New Roman"/>
          <w:sz w:val="24"/>
          <w:szCs w:val="24"/>
        </w:rPr>
        <w:t>SH</w:t>
      </w:r>
      <w:r w:rsidR="00A80F83" w:rsidRPr="003D5B4E">
        <w:rPr>
          <w:rFonts w:ascii="Times New Roman" w:hAnsi="Times New Roman" w:cs="Times New Roman"/>
          <w:sz w:val="24"/>
          <w:szCs w:val="24"/>
        </w:rPr>
        <w:t xml:space="preserve"> should focus on behavior in order to be effective (Fitzgerald &amp; Cortina, 2017).</w:t>
      </w:r>
      <w:r w:rsidR="006040A9" w:rsidRPr="003D5B4E">
        <w:rPr>
          <w:rFonts w:ascii="Times New Roman" w:hAnsi="Times New Roman" w:cs="Times New Roman"/>
          <w:sz w:val="24"/>
          <w:szCs w:val="24"/>
        </w:rPr>
        <w:t xml:space="preserve"> </w:t>
      </w:r>
      <w:r w:rsidR="00A80F83" w:rsidRPr="003D5B4E">
        <w:rPr>
          <w:rFonts w:ascii="Times New Roman" w:hAnsi="Times New Roman" w:cs="Times New Roman"/>
          <w:sz w:val="24"/>
          <w:szCs w:val="24"/>
        </w:rPr>
        <w:t xml:space="preserve">Regarding primary intervention, the ESRS propose robust requirements for policy intervention, while training intervention is in its infancy. </w:t>
      </w:r>
      <w:r w:rsidR="006355E4" w:rsidRPr="003D5B4E">
        <w:rPr>
          <w:rFonts w:ascii="Times New Roman" w:hAnsi="Times New Roman" w:cs="Times New Roman"/>
          <w:sz w:val="24"/>
          <w:szCs w:val="24"/>
        </w:rPr>
        <w:t xml:space="preserve">The ESRS do not consider personal antecedents. However, character-based hiring might have significant positive implications for </w:t>
      </w:r>
      <w:r>
        <w:rPr>
          <w:rFonts w:ascii="Times New Roman" w:hAnsi="Times New Roman" w:cs="Times New Roman"/>
          <w:sz w:val="24"/>
          <w:szCs w:val="24"/>
        </w:rPr>
        <w:t>organization</w:t>
      </w:r>
      <w:r w:rsidR="006355E4" w:rsidRPr="003D5B4E">
        <w:rPr>
          <w:rFonts w:ascii="Times New Roman" w:hAnsi="Times New Roman" w:cs="Times New Roman"/>
          <w:sz w:val="24"/>
          <w:szCs w:val="24"/>
        </w:rPr>
        <w:t xml:space="preserve">s, especially when it comes to the prevention of SH. </w:t>
      </w:r>
      <w:r w:rsidR="00A80F83" w:rsidRPr="003D5B4E">
        <w:rPr>
          <w:rFonts w:ascii="Times New Roman" w:hAnsi="Times New Roman" w:cs="Times New Roman"/>
          <w:sz w:val="24"/>
          <w:szCs w:val="24"/>
        </w:rPr>
        <w:t xml:space="preserve">The ESRS covers secondary intervention with best practice grievance mechanisms. Tertiary intervention, as in literature, is only rudimentarily covered in the ESRS. </w:t>
      </w:r>
    </w:p>
    <w:p w14:paraId="1BEECD05" w14:textId="2FC870B3" w:rsidR="00397094" w:rsidRDefault="00397094"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CSRD requires mandatory sustainability disclosure and will be audited by external auditors. As a result, companies are forced to comply with the CSRD and ESRS. </w:t>
      </w:r>
      <w:r w:rsidR="0096514A" w:rsidRPr="003D5B4E">
        <w:rPr>
          <w:rFonts w:ascii="Times New Roman" w:hAnsi="Times New Roman" w:cs="Times New Roman"/>
          <w:sz w:val="24"/>
          <w:szCs w:val="24"/>
        </w:rPr>
        <w:t xml:space="preserve">Research has shown contrasting results regarding the effectiveness of mandatory sustainability </w:t>
      </w:r>
      <w:r w:rsidR="00DB5DC3" w:rsidRPr="003D5B4E">
        <w:rPr>
          <w:rFonts w:ascii="Times New Roman" w:hAnsi="Times New Roman" w:cs="Times New Roman"/>
          <w:sz w:val="24"/>
          <w:szCs w:val="24"/>
        </w:rPr>
        <w:t>disclosure</w:t>
      </w:r>
      <w:r w:rsidR="0096514A" w:rsidRPr="003D5B4E">
        <w:rPr>
          <w:rFonts w:ascii="Times New Roman" w:hAnsi="Times New Roman" w:cs="Times New Roman"/>
          <w:sz w:val="24"/>
          <w:szCs w:val="24"/>
        </w:rPr>
        <w:t xml:space="preserve"> in addressing human rights issues. According to Hess (2019), the mandatory approach has several issues. Human rights metrics lack validity or are based on easily collected data rather than the most important data. Furthermore, empirical evidence indicates persistent issues with selective disclosure, impression management, incomparable disclosures, and the use of disclosure as an </w:t>
      </w:r>
      <w:proofErr w:type="gramStart"/>
      <w:r w:rsidR="0096514A" w:rsidRPr="003D5B4E">
        <w:rPr>
          <w:rFonts w:ascii="Times New Roman" w:hAnsi="Times New Roman" w:cs="Times New Roman"/>
          <w:sz w:val="24"/>
          <w:szCs w:val="24"/>
        </w:rPr>
        <w:t>end in itself, rather</w:t>
      </w:r>
      <w:proofErr w:type="gramEnd"/>
      <w:r w:rsidR="0096514A" w:rsidRPr="003D5B4E">
        <w:rPr>
          <w:rFonts w:ascii="Times New Roman" w:hAnsi="Times New Roman" w:cs="Times New Roman"/>
          <w:sz w:val="24"/>
          <w:szCs w:val="24"/>
        </w:rPr>
        <w:t xml:space="preserve"> than as a process that leads to organizational change</w:t>
      </w:r>
      <w:r w:rsidR="001440AF">
        <w:rPr>
          <w:rFonts w:ascii="Times New Roman" w:hAnsi="Times New Roman" w:cs="Times New Roman"/>
          <w:sz w:val="24"/>
          <w:szCs w:val="24"/>
        </w:rPr>
        <w:t xml:space="preserve"> (Grossman, 2003)</w:t>
      </w:r>
      <w:r w:rsidR="0096514A" w:rsidRPr="003D5B4E">
        <w:rPr>
          <w:rFonts w:ascii="Times New Roman" w:hAnsi="Times New Roman" w:cs="Times New Roman"/>
          <w:sz w:val="24"/>
          <w:szCs w:val="24"/>
        </w:rPr>
        <w:t xml:space="preserve">. </w:t>
      </w:r>
      <w:r w:rsidR="003345C9" w:rsidRPr="003D5B4E">
        <w:rPr>
          <w:rFonts w:ascii="Times New Roman" w:hAnsi="Times New Roman" w:cs="Times New Roman"/>
          <w:sz w:val="24"/>
          <w:szCs w:val="24"/>
        </w:rPr>
        <w:t xml:space="preserve">Following that, Adams and Abhayawansa (2021) argue that a mandatory approach also carries </w:t>
      </w:r>
      <w:r w:rsidR="003345C9" w:rsidRPr="003D5B4E">
        <w:rPr>
          <w:rFonts w:ascii="Times New Roman" w:hAnsi="Times New Roman" w:cs="Times New Roman"/>
          <w:sz w:val="24"/>
          <w:szCs w:val="24"/>
        </w:rPr>
        <w:lastRenderedPageBreak/>
        <w:t xml:space="preserve">the risk of overshadowing the genuine efforts of many to contribute to this necessary sustainable change, as well as promoting a checkbox mentality towards sustainability reporting. Nevertheless, the ESRS state measures against violence and harassment in the workplace as one factor that should be considered and provides clear guidelines on disclosed data. </w:t>
      </w:r>
      <w:r w:rsidRPr="003D5B4E">
        <w:rPr>
          <w:rFonts w:ascii="Times New Roman" w:hAnsi="Times New Roman" w:cs="Times New Roman"/>
          <w:sz w:val="24"/>
          <w:szCs w:val="24"/>
        </w:rPr>
        <w:t xml:space="preserve">Scholars argue </w:t>
      </w:r>
      <w:r w:rsidR="0041236F">
        <w:rPr>
          <w:rFonts w:ascii="Times New Roman" w:hAnsi="Times New Roman" w:cs="Times New Roman"/>
          <w:sz w:val="24"/>
          <w:szCs w:val="24"/>
        </w:rPr>
        <w:t>organization</w:t>
      </w:r>
      <w:r w:rsidR="00B969D3" w:rsidRPr="003D5B4E">
        <w:rPr>
          <w:rFonts w:ascii="Times New Roman" w:hAnsi="Times New Roman" w:cs="Times New Roman"/>
          <w:sz w:val="24"/>
          <w:szCs w:val="24"/>
        </w:rPr>
        <w:t>s</w:t>
      </w:r>
      <w:r w:rsidRPr="003D5B4E">
        <w:rPr>
          <w:rFonts w:ascii="Times New Roman" w:hAnsi="Times New Roman" w:cs="Times New Roman"/>
          <w:sz w:val="24"/>
          <w:szCs w:val="24"/>
        </w:rPr>
        <w:t xml:space="preserve"> falling under the newly obligated </w:t>
      </w:r>
      <w:r w:rsidR="0041236F">
        <w:rPr>
          <w:rFonts w:ascii="Times New Roman" w:hAnsi="Times New Roman" w:cs="Times New Roman"/>
          <w:sz w:val="24"/>
          <w:szCs w:val="24"/>
        </w:rPr>
        <w:t>organization</w:t>
      </w:r>
      <w:r w:rsidR="00B969D3" w:rsidRPr="003D5B4E">
        <w:rPr>
          <w:rFonts w:ascii="Times New Roman" w:hAnsi="Times New Roman" w:cs="Times New Roman"/>
          <w:sz w:val="24"/>
          <w:szCs w:val="24"/>
        </w:rPr>
        <w:t>s</w:t>
      </w:r>
      <w:r w:rsidRPr="003D5B4E">
        <w:rPr>
          <w:rFonts w:ascii="Times New Roman" w:hAnsi="Times New Roman" w:cs="Times New Roman"/>
          <w:sz w:val="24"/>
          <w:szCs w:val="24"/>
        </w:rPr>
        <w:t xml:space="preserve"> face significant challenges in implementing the CSRD</w:t>
      </w:r>
      <w:r w:rsidR="00B969D3" w:rsidRPr="003D5B4E">
        <w:rPr>
          <w:rFonts w:ascii="Times New Roman" w:hAnsi="Times New Roman" w:cs="Times New Roman"/>
          <w:sz w:val="24"/>
          <w:szCs w:val="24"/>
        </w:rPr>
        <w:t xml:space="preserve"> (Baumüller &amp; Grbenic, 2021)</w:t>
      </w:r>
      <w:r w:rsidRPr="003D5B4E">
        <w:rPr>
          <w:rFonts w:ascii="Times New Roman" w:hAnsi="Times New Roman" w:cs="Times New Roman"/>
          <w:sz w:val="24"/>
          <w:szCs w:val="24"/>
        </w:rPr>
        <w:t xml:space="preserve">. This is because the introduction of the CSRD requires </w:t>
      </w:r>
      <w:r w:rsidR="00B969D3" w:rsidRPr="003D5B4E">
        <w:rPr>
          <w:rFonts w:ascii="Times New Roman" w:hAnsi="Times New Roman" w:cs="Times New Roman"/>
          <w:sz w:val="24"/>
          <w:szCs w:val="24"/>
        </w:rPr>
        <w:t xml:space="preserve">34,700 </w:t>
      </w:r>
      <w:r w:rsidR="0041236F">
        <w:rPr>
          <w:rFonts w:ascii="Times New Roman" w:hAnsi="Times New Roman" w:cs="Times New Roman"/>
          <w:sz w:val="24"/>
          <w:szCs w:val="24"/>
        </w:rPr>
        <w:t>organization</w:t>
      </w:r>
      <w:r w:rsidR="00B969D3" w:rsidRPr="003D5B4E">
        <w:rPr>
          <w:rFonts w:ascii="Times New Roman" w:hAnsi="Times New Roman" w:cs="Times New Roman"/>
          <w:sz w:val="24"/>
          <w:szCs w:val="24"/>
        </w:rPr>
        <w:t>s</w:t>
      </w:r>
      <w:r w:rsidRPr="003D5B4E">
        <w:rPr>
          <w:rFonts w:ascii="Times New Roman" w:hAnsi="Times New Roman" w:cs="Times New Roman"/>
          <w:sz w:val="24"/>
          <w:szCs w:val="24"/>
        </w:rPr>
        <w:t xml:space="preserve"> </w:t>
      </w:r>
      <w:r w:rsidR="00B969D3" w:rsidRPr="003D5B4E">
        <w:rPr>
          <w:rFonts w:ascii="Times New Roman" w:hAnsi="Times New Roman" w:cs="Times New Roman"/>
          <w:sz w:val="24"/>
          <w:szCs w:val="24"/>
        </w:rPr>
        <w:t xml:space="preserve">to disclose sustainability reports that did not disclose non-financial reports under the NFRD before. However, the ESRS allow </w:t>
      </w:r>
      <w:r w:rsidR="0041236F">
        <w:rPr>
          <w:rFonts w:ascii="Times New Roman" w:hAnsi="Times New Roman" w:cs="Times New Roman"/>
          <w:sz w:val="24"/>
          <w:szCs w:val="24"/>
        </w:rPr>
        <w:t>organization</w:t>
      </w:r>
      <w:r w:rsidR="00B969D3" w:rsidRPr="003D5B4E">
        <w:rPr>
          <w:rFonts w:ascii="Times New Roman" w:hAnsi="Times New Roman" w:cs="Times New Roman"/>
          <w:sz w:val="24"/>
          <w:szCs w:val="24"/>
        </w:rPr>
        <w:t>s to replace measures that have not yet been implemented with</w:t>
      </w:r>
      <w:r w:rsidR="001C42DE" w:rsidRPr="003D5B4E">
        <w:rPr>
          <w:rFonts w:ascii="Times New Roman" w:hAnsi="Times New Roman" w:cs="Times New Roman"/>
          <w:sz w:val="24"/>
          <w:szCs w:val="24"/>
        </w:rPr>
        <w:t xml:space="preserve"> a justification and</w:t>
      </w:r>
      <w:r w:rsidR="00B969D3" w:rsidRPr="003D5B4E">
        <w:rPr>
          <w:rFonts w:ascii="Times New Roman" w:hAnsi="Times New Roman" w:cs="Times New Roman"/>
          <w:sz w:val="24"/>
          <w:szCs w:val="24"/>
        </w:rPr>
        <w:t xml:space="preserve"> an implementation plan, including a time</w:t>
      </w:r>
      <w:r w:rsidR="001C42DE" w:rsidRPr="003D5B4E">
        <w:rPr>
          <w:rFonts w:ascii="Times New Roman" w:hAnsi="Times New Roman" w:cs="Times New Roman"/>
          <w:sz w:val="24"/>
          <w:szCs w:val="24"/>
        </w:rPr>
        <w:t>frame</w:t>
      </w:r>
      <w:r w:rsidR="00B969D3" w:rsidRPr="003D5B4E">
        <w:rPr>
          <w:rFonts w:ascii="Times New Roman" w:hAnsi="Times New Roman" w:cs="Times New Roman"/>
          <w:sz w:val="24"/>
          <w:szCs w:val="24"/>
        </w:rPr>
        <w:t xml:space="preserve">. </w:t>
      </w:r>
      <w:r w:rsidR="0041236F">
        <w:rPr>
          <w:rFonts w:ascii="Times New Roman" w:hAnsi="Times New Roman" w:cs="Times New Roman"/>
          <w:sz w:val="24"/>
          <w:szCs w:val="24"/>
        </w:rPr>
        <w:t>The</w:t>
      </w:r>
      <w:r w:rsidR="0041236F" w:rsidRPr="003D5B4E">
        <w:rPr>
          <w:rFonts w:ascii="Times New Roman" w:hAnsi="Times New Roman" w:cs="Times New Roman"/>
          <w:sz w:val="24"/>
          <w:szCs w:val="24"/>
        </w:rPr>
        <w:t xml:space="preserve"> inherent limitations of theoretical reviews, together with the significant limitations associated with much of the literature reviewed, prevent us from drawing a general conclusion about the effectiveness of the CSRD and ESRS in reducing the incidence of workplace SH.</w:t>
      </w:r>
    </w:p>
    <w:p w14:paraId="6F1CB471" w14:textId="77777777" w:rsidR="003539C8" w:rsidRPr="003D5B4E" w:rsidRDefault="003539C8" w:rsidP="0041236F">
      <w:pPr>
        <w:spacing w:line="480" w:lineRule="auto"/>
        <w:jc w:val="both"/>
        <w:rPr>
          <w:rFonts w:ascii="Times New Roman" w:hAnsi="Times New Roman" w:cs="Times New Roman"/>
          <w:sz w:val="24"/>
          <w:szCs w:val="24"/>
        </w:rPr>
      </w:pPr>
    </w:p>
    <w:p w14:paraId="7C3B6ABA" w14:textId="5D5280D5" w:rsidR="00C4014A" w:rsidRPr="003D5B4E" w:rsidRDefault="00C4014A" w:rsidP="0041236F">
      <w:pPr>
        <w:spacing w:line="480" w:lineRule="auto"/>
        <w:jc w:val="both"/>
        <w:rPr>
          <w:rFonts w:ascii="Times New Roman" w:hAnsi="Times New Roman" w:cs="Times New Roman"/>
          <w:b/>
          <w:bCs/>
          <w:sz w:val="24"/>
          <w:szCs w:val="24"/>
        </w:rPr>
      </w:pPr>
      <w:r w:rsidRPr="003D5B4E">
        <w:rPr>
          <w:rFonts w:ascii="Times New Roman" w:hAnsi="Times New Roman" w:cs="Times New Roman"/>
          <w:b/>
          <w:bCs/>
          <w:sz w:val="24"/>
          <w:szCs w:val="24"/>
        </w:rPr>
        <w:t>Conclusion</w:t>
      </w:r>
    </w:p>
    <w:p w14:paraId="1D1F67B2" w14:textId="11A653A2" w:rsidR="00B51EFD" w:rsidRPr="003D5B4E" w:rsidRDefault="00103072"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The CSRD, together with the ESRS, provide a comprehensive framework for sustainability reporting on SH in the workplace. With a substantial set of measures to be implemented and disclosed, the ESRS address SH as a sustainability reporting topic for the first time in EU Member States. </w:t>
      </w:r>
      <w:r w:rsidR="000A2EF4" w:rsidRPr="003D5B4E">
        <w:rPr>
          <w:rFonts w:ascii="Times New Roman" w:hAnsi="Times New Roman" w:cs="Times New Roman"/>
          <w:sz w:val="24"/>
          <w:szCs w:val="24"/>
        </w:rPr>
        <w:t>Our findings propose a comprehensive definition of SH that is consistent with other institutions. The policy intervention requirements are robust, while the training intervention requirements are weak. Best practice requirements are suggested for complaint mechanisms, and rudimentary requirements are proposed for tertiary intervention.</w:t>
      </w:r>
    </w:p>
    <w:p w14:paraId="0848E7C7" w14:textId="1EA95B51" w:rsidR="000A2EF4" w:rsidRDefault="000A2EF4"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However, it is unclear whether the disclosure requirements of the ESRS lead to organizational change or merely to the act of disclosure itself, potentially creating a ‘tick</w:t>
      </w:r>
      <w:r w:rsidR="006355E4" w:rsidRPr="003D5B4E">
        <w:rPr>
          <w:rFonts w:ascii="Times New Roman" w:hAnsi="Times New Roman" w:cs="Times New Roman"/>
          <w:sz w:val="24"/>
          <w:szCs w:val="24"/>
        </w:rPr>
        <w:t>-</w:t>
      </w:r>
      <w:r w:rsidRPr="003D5B4E">
        <w:rPr>
          <w:rFonts w:ascii="Times New Roman" w:hAnsi="Times New Roman" w:cs="Times New Roman"/>
          <w:sz w:val="24"/>
          <w:szCs w:val="24"/>
        </w:rPr>
        <w:t>the</w:t>
      </w:r>
      <w:r w:rsidR="006355E4" w:rsidRPr="003D5B4E">
        <w:rPr>
          <w:rFonts w:ascii="Times New Roman" w:hAnsi="Times New Roman" w:cs="Times New Roman"/>
          <w:sz w:val="24"/>
          <w:szCs w:val="24"/>
        </w:rPr>
        <w:t>-</w:t>
      </w:r>
      <w:r w:rsidRPr="003D5B4E">
        <w:rPr>
          <w:rFonts w:ascii="Times New Roman" w:hAnsi="Times New Roman" w:cs="Times New Roman"/>
          <w:sz w:val="24"/>
          <w:szCs w:val="24"/>
        </w:rPr>
        <w:t xml:space="preserve">box’ mentality </w:t>
      </w:r>
      <w:r w:rsidRPr="003D5B4E">
        <w:rPr>
          <w:rFonts w:ascii="Times New Roman" w:hAnsi="Times New Roman" w:cs="Times New Roman"/>
          <w:sz w:val="24"/>
          <w:szCs w:val="24"/>
        </w:rPr>
        <w:lastRenderedPageBreak/>
        <w:t xml:space="preserve">regarding SH. </w:t>
      </w:r>
      <w:r w:rsidR="006355E4" w:rsidRPr="003D5B4E">
        <w:rPr>
          <w:rFonts w:ascii="Times New Roman" w:hAnsi="Times New Roman" w:cs="Times New Roman"/>
          <w:sz w:val="24"/>
          <w:szCs w:val="24"/>
        </w:rPr>
        <w:t xml:space="preserve">Hess (2019) warns of the transparency trap: the mistaken belief that increased transparency through sustainability reporting will lead to corporate accountability. </w:t>
      </w:r>
      <w:r w:rsidR="0063738A" w:rsidRPr="003D5B4E">
        <w:rPr>
          <w:rFonts w:ascii="Times New Roman" w:hAnsi="Times New Roman" w:cs="Times New Roman"/>
          <w:sz w:val="24"/>
          <w:szCs w:val="24"/>
        </w:rPr>
        <w:t xml:space="preserve">It remains unclear if the administrative burden for </w:t>
      </w:r>
      <w:r w:rsidR="0041236F">
        <w:rPr>
          <w:rFonts w:ascii="Times New Roman" w:hAnsi="Times New Roman" w:cs="Times New Roman"/>
          <w:sz w:val="24"/>
          <w:szCs w:val="24"/>
        </w:rPr>
        <w:t>organization</w:t>
      </w:r>
      <w:r w:rsidR="0063738A" w:rsidRPr="003D5B4E">
        <w:rPr>
          <w:rFonts w:ascii="Times New Roman" w:hAnsi="Times New Roman" w:cs="Times New Roman"/>
          <w:sz w:val="24"/>
          <w:szCs w:val="24"/>
        </w:rPr>
        <w:t xml:space="preserve">s is too excessive, particularly for those required to disclose sustainability reports for the first time. </w:t>
      </w:r>
      <w:r w:rsidRPr="003D5B4E">
        <w:rPr>
          <w:rFonts w:ascii="Times New Roman" w:hAnsi="Times New Roman" w:cs="Times New Roman"/>
          <w:sz w:val="24"/>
          <w:szCs w:val="24"/>
        </w:rPr>
        <w:t>Although companies in EU member states are required to invest in their processes and structures to comply with the ESRS reporting requirements, they also invest in creating inclusive and benevolent work environments.</w:t>
      </w:r>
      <w:r w:rsidR="0063738A" w:rsidRPr="003D5B4E">
        <w:rPr>
          <w:rFonts w:ascii="Times New Roman" w:hAnsi="Times New Roman" w:cs="Times New Roman"/>
          <w:sz w:val="24"/>
          <w:szCs w:val="24"/>
        </w:rPr>
        <w:t xml:space="preserve"> </w:t>
      </w:r>
      <w:r w:rsidRPr="003D5B4E">
        <w:rPr>
          <w:rFonts w:ascii="Times New Roman" w:hAnsi="Times New Roman" w:cs="Times New Roman"/>
          <w:sz w:val="24"/>
          <w:szCs w:val="24"/>
        </w:rPr>
        <w:t xml:space="preserve">Regarding strategic management, it is important to promote harmonious workplace relationships and minimize legal liability as well as the risk of reputational damage. Additionally, it is crucial to provide a safe and productive work environment for employees and ensure fair treatment in the event of </w:t>
      </w:r>
      <w:r w:rsidR="00CF143F" w:rsidRPr="003D5B4E">
        <w:rPr>
          <w:rFonts w:ascii="Times New Roman" w:hAnsi="Times New Roman" w:cs="Times New Roman"/>
          <w:sz w:val="24"/>
          <w:szCs w:val="24"/>
        </w:rPr>
        <w:t xml:space="preserve">a </w:t>
      </w:r>
      <w:r w:rsidRPr="003D5B4E">
        <w:rPr>
          <w:rFonts w:ascii="Times New Roman" w:hAnsi="Times New Roman" w:cs="Times New Roman"/>
          <w:sz w:val="24"/>
          <w:szCs w:val="24"/>
        </w:rPr>
        <w:t xml:space="preserve">complaint. </w:t>
      </w:r>
    </w:p>
    <w:p w14:paraId="37F28A40" w14:textId="77777777" w:rsidR="0041236F" w:rsidRPr="003D5B4E" w:rsidRDefault="0041236F"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 xml:space="preserve">Based on our ex-ante impact assessment, some future research opportunities arise. First, future research could focus on empirically assessing the effectiveness of the CSRD in addressing human rights issues such as SH. Key issues to be explored include the extent to which mandatory sustainability disclosure leads to organizational change. Secondly, further research could focus on assessing the challenges faced by companies in implementing the CSRD requirements. Understanding the practical implications of the CSRD can inform policymakers and stakeholders about the feasibility and effectiveness of mandatory sustainability reporting initiatives in addressing human rights issues such as SH. </w:t>
      </w:r>
    </w:p>
    <w:p w14:paraId="6451AD6E" w14:textId="798DD8B0" w:rsidR="009A673B" w:rsidRPr="003D5B4E" w:rsidRDefault="009A673B" w:rsidP="0041236F">
      <w:pPr>
        <w:spacing w:line="480" w:lineRule="auto"/>
        <w:jc w:val="both"/>
        <w:rPr>
          <w:rFonts w:ascii="Times New Roman" w:hAnsi="Times New Roman" w:cs="Times New Roman"/>
          <w:sz w:val="24"/>
          <w:szCs w:val="24"/>
        </w:rPr>
      </w:pPr>
      <w:r w:rsidRPr="003D5B4E">
        <w:rPr>
          <w:rFonts w:ascii="Times New Roman" w:hAnsi="Times New Roman" w:cs="Times New Roman"/>
          <w:sz w:val="24"/>
          <w:szCs w:val="24"/>
        </w:rPr>
        <w:t>In the future, researchers, policymakers, and practitioners need to collaborate closely to monitor the effectiveness of CSRD and intervene if it proves to be ineffective or counterproductive. Due to the limitations of this theoretical ex-ante assessment, it underscores the importance of empirical studies to assess the effectiveness of the different components of the ESRS.</w:t>
      </w:r>
    </w:p>
    <w:p w14:paraId="76ED170D" w14:textId="46AB4976" w:rsidR="0038791A" w:rsidRPr="0072119C" w:rsidRDefault="0038791A">
      <w:pPr>
        <w:rPr>
          <w:rFonts w:ascii="Times New Roman" w:hAnsi="Times New Roman" w:cs="Times New Roman"/>
          <w:sz w:val="24"/>
          <w:szCs w:val="24"/>
        </w:rPr>
      </w:pPr>
      <w:r w:rsidRPr="0072119C">
        <w:rPr>
          <w:rFonts w:ascii="Times New Roman" w:hAnsi="Times New Roman" w:cs="Times New Roman"/>
          <w:sz w:val="24"/>
          <w:szCs w:val="24"/>
        </w:rPr>
        <w:br w:type="page"/>
      </w:r>
    </w:p>
    <w:p w14:paraId="342E1606" w14:textId="092C9B37" w:rsidR="001B5D0A" w:rsidRPr="0038791A" w:rsidRDefault="0038791A" w:rsidP="0038791A">
      <w:pPr>
        <w:spacing w:line="360" w:lineRule="auto"/>
        <w:jc w:val="both"/>
        <w:rPr>
          <w:rFonts w:ascii="Times New Roman" w:hAnsi="Times New Roman" w:cs="Times New Roman"/>
          <w:b/>
          <w:bCs/>
          <w:sz w:val="24"/>
          <w:szCs w:val="24"/>
        </w:rPr>
      </w:pPr>
      <w:r w:rsidRPr="0038791A">
        <w:rPr>
          <w:rFonts w:ascii="Times New Roman" w:hAnsi="Times New Roman" w:cs="Times New Roman"/>
          <w:b/>
          <w:bCs/>
          <w:sz w:val="24"/>
          <w:szCs w:val="24"/>
        </w:rPr>
        <w:lastRenderedPageBreak/>
        <w:t>References</w:t>
      </w:r>
    </w:p>
    <w:p w14:paraId="4AAB707E" w14:textId="3CDDD32A" w:rsidR="00633E4E" w:rsidRPr="004146A4" w:rsidRDefault="00633E4E"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Adams, C. A. (2020) Sustainable Development Goals Disclosure (SDGD) Recommendations: Feedback on the consultation responses. Retrieved from https://www.scaak.org/uploads/ files/2020/February/07/Adams_2020_Feedback-on-the-consultation1581066574.pdf</w:t>
      </w:r>
    </w:p>
    <w:p w14:paraId="4EA4DE17" w14:textId="050525EE" w:rsidR="000C0F31" w:rsidRPr="004146A4" w:rsidRDefault="000C0F31"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Adams, C. A., &amp; Abhayawansa, S. (2022). Connecting the COVID-19 pandemic, environmental, social and governance (ESG) investing and calls for ‘</w:t>
      </w:r>
      <w:proofErr w:type="spellStart"/>
      <w:r w:rsidR="00821F66">
        <w:rPr>
          <w:rFonts w:ascii="Times New Roman" w:hAnsi="Times New Roman" w:cs="Times New Roman"/>
          <w:sz w:val="20"/>
          <w:szCs w:val="20"/>
        </w:rPr>
        <w:t>harmonisation</w:t>
      </w:r>
      <w:proofErr w:type="spellEnd"/>
      <w:r w:rsidR="00821F66">
        <w:rPr>
          <w:rFonts w:ascii="Times New Roman" w:hAnsi="Times New Roman" w:cs="Times New Roman"/>
          <w:sz w:val="20"/>
          <w:szCs w:val="20"/>
        </w:rPr>
        <w:t>’ of</w:t>
      </w:r>
      <w:r w:rsidRPr="004146A4">
        <w:rPr>
          <w:rFonts w:ascii="Times New Roman" w:hAnsi="Times New Roman" w:cs="Times New Roman"/>
          <w:sz w:val="20"/>
          <w:szCs w:val="20"/>
        </w:rPr>
        <w:t xml:space="preserve"> sustainability reporting. </w:t>
      </w:r>
      <w:r w:rsidRPr="004146A4">
        <w:rPr>
          <w:rFonts w:ascii="Times New Roman" w:hAnsi="Times New Roman" w:cs="Times New Roman"/>
          <w:i/>
          <w:iCs/>
          <w:sz w:val="20"/>
          <w:szCs w:val="20"/>
        </w:rPr>
        <w:t>Critical Perspectives on Accounting</w:t>
      </w:r>
      <w:r w:rsidRPr="004146A4">
        <w:rPr>
          <w:rFonts w:ascii="Times New Roman" w:hAnsi="Times New Roman" w:cs="Times New Roman"/>
          <w:sz w:val="20"/>
          <w:szCs w:val="20"/>
        </w:rPr>
        <w:t>, 82, 102309.</w:t>
      </w:r>
    </w:p>
    <w:p w14:paraId="601EF277" w14:textId="10C0AE02" w:rsidR="00C54076" w:rsidRPr="004146A4" w:rsidRDefault="00C54076"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Ackers, B., &amp; Eccles, N. S. (2015). Mandatory corporate social responsibility assurance practices: The case of King III in South Africa. </w:t>
      </w:r>
      <w:r w:rsidRPr="004146A4">
        <w:rPr>
          <w:rFonts w:ascii="Times New Roman" w:hAnsi="Times New Roman" w:cs="Times New Roman"/>
          <w:i/>
          <w:iCs/>
          <w:sz w:val="20"/>
          <w:szCs w:val="20"/>
          <w:shd w:val="clear" w:color="auto" w:fill="FFFFFF"/>
        </w:rPr>
        <w:t>Accounting, Auditing &amp; Accountability Journal</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28</w:t>
      </w:r>
      <w:r w:rsidRPr="004146A4">
        <w:rPr>
          <w:rFonts w:ascii="Times New Roman" w:hAnsi="Times New Roman" w:cs="Times New Roman"/>
          <w:sz w:val="20"/>
          <w:szCs w:val="20"/>
          <w:shd w:val="clear" w:color="auto" w:fill="FFFFFF"/>
        </w:rPr>
        <w:t>(4), 515-550.</w:t>
      </w:r>
    </w:p>
    <w:p w14:paraId="59AE99F4" w14:textId="2BDAA09A" w:rsidR="00FE5139" w:rsidRPr="004146A4" w:rsidRDefault="00FE5139"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Atwater, L. E., Sturm, R. E., Taylor, S. N., &amp; Tringale, A. (2021). The era of# MeToo and what managers should do about it. </w:t>
      </w:r>
      <w:r w:rsidRPr="004146A4">
        <w:rPr>
          <w:rFonts w:ascii="Times New Roman" w:hAnsi="Times New Roman" w:cs="Times New Roman"/>
          <w:i/>
          <w:iCs/>
          <w:sz w:val="20"/>
          <w:szCs w:val="20"/>
          <w:shd w:val="clear" w:color="auto" w:fill="FFFFFF"/>
        </w:rPr>
        <w:t>Business Horizons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64</w:t>
      </w:r>
      <w:r w:rsidRPr="004146A4">
        <w:rPr>
          <w:rFonts w:ascii="Times New Roman" w:hAnsi="Times New Roman" w:cs="Times New Roman"/>
          <w:sz w:val="20"/>
          <w:szCs w:val="20"/>
          <w:shd w:val="clear" w:color="auto" w:fill="FFFFFF"/>
        </w:rPr>
        <w:t>(2), 307-318.</w:t>
      </w:r>
    </w:p>
    <w:p w14:paraId="515F81B2" w14:textId="386D0D7E" w:rsidR="001B125E" w:rsidRPr="004146A4" w:rsidRDefault="001B125E"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Au, S. Y., Dong, M., &amp; Tremblay, A. (2023). How much does workplace sexual harassment hurt firm value?. </w:t>
      </w:r>
      <w:r w:rsidRPr="004146A4">
        <w:rPr>
          <w:rFonts w:ascii="Times New Roman" w:hAnsi="Times New Roman" w:cs="Times New Roman"/>
          <w:i/>
          <w:iCs/>
          <w:sz w:val="20"/>
          <w:szCs w:val="20"/>
          <w:shd w:val="clear" w:color="auto" w:fill="FFFFFF"/>
        </w:rPr>
        <w:t>Journal of Business Ethics</w:t>
      </w:r>
      <w:r w:rsidRPr="004146A4">
        <w:rPr>
          <w:rFonts w:ascii="Times New Roman" w:hAnsi="Times New Roman" w:cs="Times New Roman"/>
          <w:sz w:val="20"/>
          <w:szCs w:val="20"/>
          <w:shd w:val="clear" w:color="auto" w:fill="FFFFFF"/>
        </w:rPr>
        <w:t>, 1-23.</w:t>
      </w:r>
    </w:p>
    <w:p w14:paraId="6CBB23DA" w14:textId="33836FAA" w:rsidR="003E081C" w:rsidRPr="004146A4" w:rsidRDefault="003E081C"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Aureli, S., Del Baldo, M., Lombardi, R., &amp; Nappo, F. (2020). Nonfinancial reporting regulation and challenges in sustainability disclosure and corporate governance practices. </w:t>
      </w:r>
      <w:r w:rsidRPr="004146A4">
        <w:rPr>
          <w:rFonts w:ascii="Times New Roman" w:hAnsi="Times New Roman" w:cs="Times New Roman"/>
          <w:i/>
          <w:iCs/>
          <w:sz w:val="20"/>
          <w:szCs w:val="20"/>
          <w:shd w:val="clear" w:color="auto" w:fill="FFFFFF"/>
        </w:rPr>
        <w:t>Business Strategy and the Environment</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29</w:t>
      </w:r>
      <w:r w:rsidRPr="004146A4">
        <w:rPr>
          <w:rFonts w:ascii="Times New Roman" w:hAnsi="Times New Roman" w:cs="Times New Roman"/>
          <w:sz w:val="20"/>
          <w:szCs w:val="20"/>
          <w:shd w:val="clear" w:color="auto" w:fill="FFFFFF"/>
        </w:rPr>
        <w:t>(6), 2392-2403.</w:t>
      </w:r>
    </w:p>
    <w:p w14:paraId="1B2F11C6" w14:textId="431E715A" w:rsidR="00797DA8" w:rsidRPr="004146A4" w:rsidRDefault="00797DA8"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Baker, A. N., King, D., Nalick, M., Tempio, M., Gupta, V. K., &amp; Pierce, C. A. (2021). Managers' sexually-oriented behavior and firm performance: linking media reports to stock market reactions and legal risk. </w:t>
      </w:r>
      <w:r w:rsidRPr="004146A4">
        <w:rPr>
          <w:rFonts w:ascii="Times New Roman" w:hAnsi="Times New Roman" w:cs="Times New Roman"/>
          <w:i/>
          <w:iCs/>
          <w:sz w:val="20"/>
          <w:szCs w:val="20"/>
          <w:shd w:val="clear" w:color="auto" w:fill="FFFFFF"/>
        </w:rPr>
        <w:t>Journal of Strategy and Management</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14</w:t>
      </w:r>
      <w:r w:rsidRPr="004146A4">
        <w:rPr>
          <w:rFonts w:ascii="Times New Roman" w:hAnsi="Times New Roman" w:cs="Times New Roman"/>
          <w:sz w:val="20"/>
          <w:szCs w:val="20"/>
          <w:shd w:val="clear" w:color="auto" w:fill="FFFFFF"/>
        </w:rPr>
        <w:t>(4), 562-581.</w:t>
      </w:r>
    </w:p>
    <w:p w14:paraId="6F645557" w14:textId="40C229D3" w:rsidR="008206F3" w:rsidRPr="004146A4" w:rsidRDefault="008206F3"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 xml:space="preserve">Barling, J., Rogers, A. G., &amp; Kelloway, E. K. (2001). Behind closed doors: In-home workers’ experience of sexual harassment and workplace violence. </w:t>
      </w:r>
      <w:r w:rsidRPr="004146A4">
        <w:rPr>
          <w:rFonts w:ascii="Times New Roman" w:hAnsi="Times New Roman" w:cs="Times New Roman"/>
          <w:i/>
          <w:iCs/>
          <w:sz w:val="20"/>
          <w:szCs w:val="20"/>
          <w:shd w:val="clear" w:color="auto" w:fill="FFFFFF"/>
        </w:rPr>
        <w:t>Journal of Occupational Health Psychology</w:t>
      </w:r>
      <w:r w:rsidRPr="004146A4">
        <w:rPr>
          <w:rFonts w:ascii="Times New Roman" w:hAnsi="Times New Roman" w:cs="Times New Roman"/>
          <w:sz w:val="20"/>
          <w:szCs w:val="20"/>
          <w:shd w:val="clear" w:color="auto" w:fill="FFFFFF"/>
        </w:rPr>
        <w:t xml:space="preserve">, </w:t>
      </w:r>
      <w:r w:rsidRPr="004146A4">
        <w:rPr>
          <w:rFonts w:ascii="Times New Roman" w:hAnsi="Times New Roman" w:cs="Times New Roman"/>
          <w:i/>
          <w:iCs/>
          <w:sz w:val="20"/>
          <w:szCs w:val="20"/>
          <w:shd w:val="clear" w:color="auto" w:fill="FFFFFF"/>
        </w:rPr>
        <w:t>6</w:t>
      </w:r>
      <w:r w:rsidRPr="004146A4">
        <w:rPr>
          <w:rFonts w:ascii="Times New Roman" w:hAnsi="Times New Roman" w:cs="Times New Roman"/>
          <w:sz w:val="20"/>
          <w:szCs w:val="20"/>
          <w:shd w:val="clear" w:color="auto" w:fill="FFFFFF"/>
        </w:rPr>
        <w:t xml:space="preserve">, 255–269. </w:t>
      </w:r>
    </w:p>
    <w:p w14:paraId="7E8B8699" w14:textId="2053C509" w:rsidR="00B969D3" w:rsidRPr="004146A4" w:rsidRDefault="00B969D3"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Baumüller, J., &amp; Grbenic, S. O. (2021). Moving from non-financial to sustainability reporting: Analyzing the EU Commission’s proposal for a Corporate Sustainability Reporting Directive (CSRD). </w:t>
      </w:r>
      <w:r w:rsidRPr="004146A4">
        <w:rPr>
          <w:rFonts w:ascii="Times New Roman" w:hAnsi="Times New Roman" w:cs="Times New Roman"/>
          <w:i/>
          <w:iCs/>
          <w:sz w:val="20"/>
          <w:szCs w:val="20"/>
          <w:shd w:val="clear" w:color="auto" w:fill="FFFFFF"/>
        </w:rPr>
        <w:t>Facta Universitatis, Series: Economics and Organization</w:t>
      </w:r>
      <w:r w:rsidRPr="004146A4">
        <w:rPr>
          <w:rFonts w:ascii="Times New Roman" w:hAnsi="Times New Roman" w:cs="Times New Roman"/>
          <w:sz w:val="20"/>
          <w:szCs w:val="20"/>
          <w:shd w:val="clear" w:color="auto" w:fill="FFFFFF"/>
        </w:rPr>
        <w:t>, (1), 369-381.</w:t>
      </w:r>
    </w:p>
    <w:p w14:paraId="5F96CC50" w14:textId="77777777" w:rsidR="001B125E" w:rsidRPr="004146A4" w:rsidRDefault="001B125E"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Bednar, M. K., Westphal, J. D., &amp; McDonald, M. L. (2022). Birds of a feather flock (even more) together: An intergroup relations perspective on how# MeToo‐related media coverage affects the evaluation of prospective corporate directors. </w:t>
      </w:r>
      <w:r w:rsidRPr="004146A4">
        <w:rPr>
          <w:rFonts w:ascii="Times New Roman" w:hAnsi="Times New Roman" w:cs="Times New Roman"/>
          <w:i/>
          <w:iCs/>
          <w:sz w:val="20"/>
          <w:szCs w:val="20"/>
          <w:shd w:val="clear" w:color="auto" w:fill="FFFFFF"/>
        </w:rPr>
        <w:t>Strategic Management Journal</w:t>
      </w:r>
      <w:r w:rsidRPr="004146A4">
        <w:rPr>
          <w:rFonts w:ascii="Times New Roman" w:hAnsi="Times New Roman" w:cs="Times New Roman"/>
          <w:sz w:val="20"/>
          <w:szCs w:val="20"/>
          <w:shd w:val="clear" w:color="auto" w:fill="FFFFFF"/>
        </w:rPr>
        <w:t>, 43(11), 2313-2350.</w:t>
      </w:r>
    </w:p>
    <w:p w14:paraId="2E9935A3" w14:textId="657A209F" w:rsidR="002B1B92" w:rsidRPr="004146A4" w:rsidRDefault="002B1B92"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Benavides Espinoza, C., &amp; Cunningham, G. B. (2010). Observers’ reporting of sexual harassment: The influence of harassment type, organizational culture, and political orientation. </w:t>
      </w:r>
      <w:r w:rsidRPr="004146A4">
        <w:rPr>
          <w:rFonts w:ascii="Times New Roman" w:hAnsi="Times New Roman" w:cs="Times New Roman"/>
          <w:i/>
          <w:iCs/>
          <w:sz w:val="20"/>
          <w:szCs w:val="20"/>
          <w:shd w:val="clear" w:color="auto" w:fill="FFFFFF"/>
        </w:rPr>
        <w:t>Public Organization Review</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10</w:t>
      </w:r>
      <w:r w:rsidRPr="004146A4">
        <w:rPr>
          <w:rFonts w:ascii="Times New Roman" w:hAnsi="Times New Roman" w:cs="Times New Roman"/>
          <w:sz w:val="20"/>
          <w:szCs w:val="20"/>
          <w:shd w:val="clear" w:color="auto" w:fill="FFFFFF"/>
        </w:rPr>
        <w:t>, 323-337.</w:t>
      </w:r>
    </w:p>
    <w:p w14:paraId="3CC813C1" w14:textId="73CB4F67" w:rsidR="00B81F0F" w:rsidRPr="004146A4" w:rsidRDefault="00B81F0F"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 xml:space="preserve">Berdahl, J. L. (2007). The sexual harassment of uppity women. </w:t>
      </w:r>
      <w:r w:rsidRPr="004146A4">
        <w:rPr>
          <w:rFonts w:ascii="Times New Roman" w:hAnsi="Times New Roman" w:cs="Times New Roman"/>
          <w:i/>
          <w:iCs/>
          <w:sz w:val="20"/>
          <w:szCs w:val="20"/>
          <w:shd w:val="clear" w:color="auto" w:fill="FFFFFF"/>
        </w:rPr>
        <w:t>Journal of Applied Psychology</w:t>
      </w:r>
      <w:r w:rsidRPr="004146A4">
        <w:rPr>
          <w:rFonts w:ascii="Times New Roman" w:hAnsi="Times New Roman" w:cs="Times New Roman"/>
          <w:sz w:val="20"/>
          <w:szCs w:val="20"/>
          <w:shd w:val="clear" w:color="auto" w:fill="FFFFFF"/>
        </w:rPr>
        <w:t xml:space="preserve">, </w:t>
      </w:r>
      <w:r w:rsidRPr="004146A4">
        <w:rPr>
          <w:rFonts w:ascii="Times New Roman" w:hAnsi="Times New Roman" w:cs="Times New Roman"/>
          <w:i/>
          <w:iCs/>
          <w:sz w:val="20"/>
          <w:szCs w:val="20"/>
          <w:shd w:val="clear" w:color="auto" w:fill="FFFFFF"/>
        </w:rPr>
        <w:t>92</w:t>
      </w:r>
      <w:r w:rsidRPr="004146A4">
        <w:rPr>
          <w:rFonts w:ascii="Times New Roman" w:hAnsi="Times New Roman" w:cs="Times New Roman"/>
          <w:sz w:val="20"/>
          <w:szCs w:val="20"/>
          <w:shd w:val="clear" w:color="auto" w:fill="FFFFFF"/>
        </w:rPr>
        <w:t xml:space="preserve">(2), 425–437. </w:t>
      </w:r>
    </w:p>
    <w:p w14:paraId="125A28E4" w14:textId="59B214C2" w:rsidR="00B81F0F" w:rsidRPr="004146A4" w:rsidRDefault="00B81F0F"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Berdahl, J. L., Magley, V. J., &amp; Waldo, C. R. (1996). The Sexual Harassment of Men?: Exploring the Concept with Theory and Data. </w:t>
      </w:r>
      <w:r w:rsidRPr="004146A4">
        <w:rPr>
          <w:rFonts w:ascii="Times New Roman" w:hAnsi="Times New Roman" w:cs="Times New Roman"/>
          <w:i/>
          <w:iCs/>
          <w:sz w:val="20"/>
          <w:szCs w:val="20"/>
        </w:rPr>
        <w:t>Psychology of Women Quarterly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20</w:t>
      </w:r>
      <w:r w:rsidRPr="004146A4">
        <w:rPr>
          <w:rFonts w:ascii="Times New Roman" w:hAnsi="Times New Roman" w:cs="Times New Roman"/>
          <w:sz w:val="20"/>
          <w:szCs w:val="20"/>
        </w:rPr>
        <w:t xml:space="preserve">(4), 527–547. </w:t>
      </w:r>
    </w:p>
    <w:p w14:paraId="5AD8D3BD" w14:textId="1FD33783" w:rsidR="00B81F0F" w:rsidRPr="004146A4" w:rsidRDefault="00B81F0F"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rPr>
        <w:t xml:space="preserve">Berdahl, J. L., &amp; Moore, C. (2006). Workplace harassment: Double jeopardy for minority women. </w:t>
      </w:r>
      <w:r w:rsidRPr="004146A4">
        <w:rPr>
          <w:rFonts w:ascii="Times New Roman" w:hAnsi="Times New Roman" w:cs="Times New Roman"/>
          <w:i/>
          <w:iCs/>
          <w:sz w:val="20"/>
          <w:szCs w:val="20"/>
        </w:rPr>
        <w:t>Journal of Applied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91</w:t>
      </w:r>
      <w:r w:rsidRPr="004146A4">
        <w:rPr>
          <w:rFonts w:ascii="Times New Roman" w:hAnsi="Times New Roman" w:cs="Times New Roman"/>
          <w:sz w:val="20"/>
          <w:szCs w:val="20"/>
        </w:rPr>
        <w:t xml:space="preserve">(2), 426–436. </w:t>
      </w:r>
    </w:p>
    <w:p w14:paraId="75A8557C" w14:textId="79089E8F" w:rsidR="00797DA8" w:rsidRDefault="00797DA8"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Billings, M. B., Klein, A., &amp; Shi, Y. C. (2022). Investors’ response to the# MeToo movement: does corporate culture matter?. </w:t>
      </w:r>
      <w:r w:rsidRPr="004146A4">
        <w:rPr>
          <w:rFonts w:ascii="Times New Roman" w:hAnsi="Times New Roman" w:cs="Times New Roman"/>
          <w:i/>
          <w:iCs/>
          <w:sz w:val="20"/>
          <w:szCs w:val="20"/>
          <w:shd w:val="clear" w:color="auto" w:fill="FFFFFF"/>
        </w:rPr>
        <w:t>Review of Accounting Studies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27</w:t>
      </w:r>
      <w:r w:rsidRPr="004146A4">
        <w:rPr>
          <w:rFonts w:ascii="Times New Roman" w:hAnsi="Times New Roman" w:cs="Times New Roman"/>
          <w:sz w:val="20"/>
          <w:szCs w:val="20"/>
          <w:shd w:val="clear" w:color="auto" w:fill="FFFFFF"/>
        </w:rPr>
        <w:t>(3), 897-937.</w:t>
      </w:r>
    </w:p>
    <w:p w14:paraId="431218E0" w14:textId="4057A394" w:rsidR="00EE5BEC" w:rsidRPr="004146A4" w:rsidRDefault="00EE5BEC" w:rsidP="00C4014A">
      <w:pPr>
        <w:spacing w:line="276" w:lineRule="auto"/>
        <w:ind w:firstLine="284"/>
        <w:jc w:val="both"/>
        <w:rPr>
          <w:rFonts w:ascii="Times New Roman" w:hAnsi="Times New Roman" w:cs="Times New Roman"/>
          <w:sz w:val="20"/>
          <w:szCs w:val="20"/>
          <w:shd w:val="clear" w:color="auto" w:fill="FFFFFF"/>
        </w:rPr>
      </w:pPr>
      <w:r w:rsidRPr="00D770EF">
        <w:rPr>
          <w:rFonts w:ascii="Times New Roman" w:hAnsi="Times New Roman" w:cs="Times New Roman"/>
          <w:sz w:val="20"/>
          <w:szCs w:val="20"/>
        </w:rPr>
        <w:t xml:space="preserve">Borelli-Kjaer, M., Schack, L. M., &amp; Nielsson, U. (2021). </w:t>
      </w:r>
      <w:r w:rsidRPr="004146A4">
        <w:rPr>
          <w:rFonts w:ascii="Times New Roman" w:hAnsi="Times New Roman" w:cs="Times New Roman"/>
          <w:sz w:val="20"/>
          <w:szCs w:val="20"/>
        </w:rPr>
        <w:t xml:space="preserve">#MeToo: Sexual harassment and company value. </w:t>
      </w:r>
      <w:r w:rsidRPr="004146A4">
        <w:rPr>
          <w:rFonts w:ascii="Times New Roman" w:hAnsi="Times New Roman" w:cs="Times New Roman"/>
          <w:i/>
          <w:iCs/>
          <w:sz w:val="20"/>
          <w:szCs w:val="20"/>
        </w:rPr>
        <w:t>Journal of Corporate Finance</w:t>
      </w:r>
      <w:r w:rsidRPr="004146A4">
        <w:rPr>
          <w:rFonts w:ascii="Times New Roman" w:hAnsi="Times New Roman" w:cs="Times New Roman"/>
          <w:sz w:val="20"/>
          <w:szCs w:val="20"/>
        </w:rPr>
        <w:t>, 67, 101875.</w:t>
      </w:r>
    </w:p>
    <w:p w14:paraId="322F788A" w14:textId="3EECBD83" w:rsidR="00797DA8" w:rsidRPr="004146A4" w:rsidRDefault="00797DA8"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lastRenderedPageBreak/>
        <w:t>Bouzzine, Y. D., &amp; Lueg, R. (2022). The reputation costs of executive misconduct accusations: Evidence from the# MeToo movement. </w:t>
      </w:r>
      <w:r w:rsidRPr="004146A4">
        <w:rPr>
          <w:rFonts w:ascii="Times New Roman" w:hAnsi="Times New Roman" w:cs="Times New Roman"/>
          <w:i/>
          <w:iCs/>
          <w:sz w:val="20"/>
          <w:szCs w:val="20"/>
          <w:shd w:val="clear" w:color="auto" w:fill="FFFFFF"/>
        </w:rPr>
        <w:t>Scandinavian Journal of Management</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38</w:t>
      </w:r>
      <w:r w:rsidRPr="004146A4">
        <w:rPr>
          <w:rFonts w:ascii="Times New Roman" w:hAnsi="Times New Roman" w:cs="Times New Roman"/>
          <w:sz w:val="20"/>
          <w:szCs w:val="20"/>
          <w:shd w:val="clear" w:color="auto" w:fill="FFFFFF"/>
        </w:rPr>
        <w:t>(1), 101196.</w:t>
      </w:r>
    </w:p>
    <w:p w14:paraId="287B7F66" w14:textId="5B8C5897" w:rsidR="0038791A" w:rsidRPr="004146A4" w:rsidRDefault="0038791A"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Bowes-Sperry, L., &amp; O'Leary-Kelly, A. M. (2005). To act or not to act: The dilemma faced by sexual harassment observers. </w:t>
      </w:r>
      <w:r w:rsidRPr="004146A4">
        <w:rPr>
          <w:rFonts w:ascii="Times New Roman" w:hAnsi="Times New Roman" w:cs="Times New Roman"/>
          <w:i/>
          <w:iCs/>
          <w:sz w:val="20"/>
          <w:szCs w:val="20"/>
        </w:rPr>
        <w:t>Academy of Management Review</w:t>
      </w:r>
      <w:r w:rsidRPr="004146A4">
        <w:rPr>
          <w:rFonts w:ascii="Times New Roman" w:hAnsi="Times New Roman" w:cs="Times New Roman"/>
          <w:sz w:val="20"/>
          <w:szCs w:val="20"/>
        </w:rPr>
        <w:t>, </w:t>
      </w:r>
      <w:r w:rsidRPr="004146A4">
        <w:rPr>
          <w:rFonts w:ascii="Times New Roman" w:hAnsi="Times New Roman" w:cs="Times New Roman"/>
          <w:i/>
          <w:iCs/>
          <w:sz w:val="20"/>
          <w:szCs w:val="20"/>
        </w:rPr>
        <w:t>30</w:t>
      </w:r>
      <w:r w:rsidRPr="004146A4">
        <w:rPr>
          <w:rFonts w:ascii="Times New Roman" w:hAnsi="Times New Roman" w:cs="Times New Roman"/>
          <w:sz w:val="20"/>
          <w:szCs w:val="20"/>
        </w:rPr>
        <w:t>(2), 288-306.</w:t>
      </w:r>
    </w:p>
    <w:p w14:paraId="0914AC2E" w14:textId="56383F8B" w:rsidR="00323B82" w:rsidRPr="004146A4" w:rsidRDefault="00323B82"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Buhr, N., Gray, R., &amp; Milne, M. J. (2014). Histories, rationales, voluntary standards and future prospects for sustainability reporting. </w:t>
      </w:r>
      <w:r w:rsidRPr="004146A4">
        <w:rPr>
          <w:rFonts w:ascii="Times New Roman" w:hAnsi="Times New Roman" w:cs="Times New Roman"/>
          <w:i/>
          <w:iCs/>
          <w:sz w:val="20"/>
          <w:szCs w:val="20"/>
          <w:shd w:val="clear" w:color="auto" w:fill="FFFFFF"/>
        </w:rPr>
        <w:t xml:space="preserve">Sustainability </w:t>
      </w:r>
      <w:r w:rsidR="006812E4" w:rsidRPr="004146A4">
        <w:rPr>
          <w:rFonts w:ascii="Times New Roman" w:hAnsi="Times New Roman" w:cs="Times New Roman"/>
          <w:i/>
          <w:iCs/>
          <w:sz w:val="20"/>
          <w:szCs w:val="20"/>
          <w:shd w:val="clear" w:color="auto" w:fill="FFFFFF"/>
        </w:rPr>
        <w:t>A</w:t>
      </w:r>
      <w:r w:rsidRPr="004146A4">
        <w:rPr>
          <w:rFonts w:ascii="Times New Roman" w:hAnsi="Times New Roman" w:cs="Times New Roman"/>
          <w:i/>
          <w:iCs/>
          <w:sz w:val="20"/>
          <w:szCs w:val="20"/>
          <w:shd w:val="clear" w:color="auto" w:fill="FFFFFF"/>
        </w:rPr>
        <w:t xml:space="preserve">ccounting and </w:t>
      </w:r>
      <w:r w:rsidR="006812E4" w:rsidRPr="004146A4">
        <w:rPr>
          <w:rFonts w:ascii="Times New Roman" w:hAnsi="Times New Roman" w:cs="Times New Roman"/>
          <w:i/>
          <w:iCs/>
          <w:sz w:val="20"/>
          <w:szCs w:val="20"/>
          <w:shd w:val="clear" w:color="auto" w:fill="FFFFFF"/>
        </w:rPr>
        <w:t>A</w:t>
      </w:r>
      <w:r w:rsidRPr="004146A4">
        <w:rPr>
          <w:rFonts w:ascii="Times New Roman" w:hAnsi="Times New Roman" w:cs="Times New Roman"/>
          <w:i/>
          <w:iCs/>
          <w:sz w:val="20"/>
          <w:szCs w:val="20"/>
          <w:shd w:val="clear" w:color="auto" w:fill="FFFFFF"/>
        </w:rPr>
        <w:t>ccountability</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51</w:t>
      </w:r>
      <w:r w:rsidRPr="004146A4">
        <w:rPr>
          <w:rFonts w:ascii="Times New Roman" w:hAnsi="Times New Roman" w:cs="Times New Roman"/>
          <w:sz w:val="20"/>
          <w:szCs w:val="20"/>
          <w:shd w:val="clear" w:color="auto" w:fill="FFFFFF"/>
        </w:rPr>
        <w:t>.</w:t>
      </w:r>
    </w:p>
    <w:p w14:paraId="3DD4F6F3" w14:textId="7F7DF4C0" w:rsidR="00323B82" w:rsidRPr="004146A4" w:rsidRDefault="00323B82"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Campra, M., Esposito, P., &amp; Lombardi, R. (2020). The engagement of stakeholders in nonfinancial reporting: New information‐pressure, stimuli, inertia, under short‐termism in the banking industry. </w:t>
      </w:r>
      <w:r w:rsidRPr="004146A4">
        <w:rPr>
          <w:rFonts w:ascii="Times New Roman" w:hAnsi="Times New Roman" w:cs="Times New Roman"/>
          <w:i/>
          <w:iCs/>
          <w:sz w:val="20"/>
          <w:szCs w:val="20"/>
          <w:shd w:val="clear" w:color="auto" w:fill="FFFFFF"/>
        </w:rPr>
        <w:t>Corporate Social Responsibility and Environmental Management</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27</w:t>
      </w:r>
      <w:r w:rsidRPr="004146A4">
        <w:rPr>
          <w:rFonts w:ascii="Times New Roman" w:hAnsi="Times New Roman" w:cs="Times New Roman"/>
          <w:sz w:val="20"/>
          <w:szCs w:val="20"/>
          <w:shd w:val="clear" w:color="auto" w:fill="FFFFFF"/>
        </w:rPr>
        <w:t>(3), 1436-1444.</w:t>
      </w:r>
    </w:p>
    <w:p w14:paraId="0F730249" w14:textId="7C7CE220" w:rsidR="008E3C36" w:rsidRPr="004146A4" w:rsidRDefault="008E3C36"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Chamberlain L (2008)A prevention primer for domestic violence: Terminology, tools, and the public health approach. The National Online Resource Center on Violence Against Women, Harrisburg, PA.</w:t>
      </w:r>
    </w:p>
    <w:p w14:paraId="6F1D303D" w14:textId="3731BAEB" w:rsidR="002B1B92" w:rsidRPr="004146A4" w:rsidRDefault="002B1B92"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Charlesworth, S., Douglas, K., Fastenau, M., &amp; Gregory, S. (2006). Women and Work 2005: Current RMIT University Research.</w:t>
      </w:r>
    </w:p>
    <w:p w14:paraId="550BA5B5" w14:textId="7D27E972" w:rsidR="00C54076" w:rsidRPr="004146A4" w:rsidRDefault="00C54076"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Chauvey, J. N., Giordano-Spring, S., Cho, C. H., &amp; Patten, D. M. (2015). The normativity and legitimacy of CSR disclosure: Evidence from France. </w:t>
      </w:r>
      <w:r w:rsidRPr="004146A4">
        <w:rPr>
          <w:rFonts w:ascii="Times New Roman" w:hAnsi="Times New Roman" w:cs="Times New Roman"/>
          <w:i/>
          <w:iCs/>
          <w:sz w:val="20"/>
          <w:szCs w:val="20"/>
          <w:shd w:val="clear" w:color="auto" w:fill="FFFFFF"/>
        </w:rPr>
        <w:t>Journal of Business Ethics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130</w:t>
      </w:r>
      <w:r w:rsidRPr="004146A4">
        <w:rPr>
          <w:rFonts w:ascii="Times New Roman" w:hAnsi="Times New Roman" w:cs="Times New Roman"/>
          <w:sz w:val="20"/>
          <w:szCs w:val="20"/>
          <w:shd w:val="clear" w:color="auto" w:fill="FFFFFF"/>
        </w:rPr>
        <w:t>, 789-803.</w:t>
      </w:r>
    </w:p>
    <w:p w14:paraId="441AE94F" w14:textId="5E874A07" w:rsidR="00C54076" w:rsidRPr="004146A4" w:rsidRDefault="00C54076"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Chelli, M., Durocher, S., &amp; Fortin, A. (2018). Normativity in environmental reporting: A comparison of three regimes. </w:t>
      </w:r>
      <w:r w:rsidRPr="004146A4">
        <w:rPr>
          <w:rFonts w:ascii="Times New Roman" w:hAnsi="Times New Roman" w:cs="Times New Roman"/>
          <w:i/>
          <w:iCs/>
          <w:sz w:val="20"/>
          <w:szCs w:val="20"/>
          <w:shd w:val="clear" w:color="auto" w:fill="FFFFFF"/>
        </w:rPr>
        <w:t>Journal of Business Ethics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149</w:t>
      </w:r>
      <w:r w:rsidRPr="004146A4">
        <w:rPr>
          <w:rFonts w:ascii="Times New Roman" w:hAnsi="Times New Roman" w:cs="Times New Roman"/>
          <w:sz w:val="20"/>
          <w:szCs w:val="20"/>
          <w:shd w:val="clear" w:color="auto" w:fill="FFFFFF"/>
        </w:rPr>
        <w:t>, 285-311.</w:t>
      </w:r>
    </w:p>
    <w:p w14:paraId="18AF3239" w14:textId="45DCE5C9" w:rsidR="00BA5950" w:rsidRPr="004146A4" w:rsidRDefault="00BA5950"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Cho, C. H., Freedman, M., &amp; Patten, D. M. (2012). Corporate disclosure of environmental capital expenditures. </w:t>
      </w:r>
      <w:r w:rsidRPr="004146A4">
        <w:rPr>
          <w:rFonts w:ascii="Times New Roman" w:hAnsi="Times New Roman" w:cs="Times New Roman"/>
          <w:i/>
          <w:iCs/>
          <w:sz w:val="20"/>
          <w:szCs w:val="20"/>
        </w:rPr>
        <w:t>Accounting, Auditing &amp; Account</w:t>
      </w:r>
      <w:r w:rsidR="00323B82" w:rsidRPr="004146A4">
        <w:rPr>
          <w:rFonts w:ascii="Times New Roman" w:hAnsi="Times New Roman" w:cs="Times New Roman"/>
          <w:i/>
          <w:iCs/>
          <w:sz w:val="20"/>
          <w:szCs w:val="20"/>
        </w:rPr>
        <w:t>a</w:t>
      </w:r>
      <w:r w:rsidRPr="004146A4">
        <w:rPr>
          <w:rFonts w:ascii="Times New Roman" w:hAnsi="Times New Roman" w:cs="Times New Roman"/>
          <w:i/>
          <w:iCs/>
          <w:sz w:val="20"/>
          <w:szCs w:val="20"/>
        </w:rPr>
        <w:t>bility Journal</w:t>
      </w:r>
      <w:r w:rsidRPr="004146A4">
        <w:rPr>
          <w:rFonts w:ascii="Times New Roman" w:hAnsi="Times New Roman" w:cs="Times New Roman"/>
          <w:sz w:val="20"/>
          <w:szCs w:val="20"/>
        </w:rPr>
        <w:t>, 25(3), 486–507.</w:t>
      </w:r>
    </w:p>
    <w:p w14:paraId="29E2C59D" w14:textId="67DE2F51" w:rsidR="002E2026" w:rsidRPr="004146A4" w:rsidRDefault="002E2026"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Christensen, H. B., Hail, L., &amp; Leuz, C. (2021). Mandatory CSR and sustainability reporting: Economic analysis and literature review. </w:t>
      </w:r>
      <w:r w:rsidRPr="004146A4">
        <w:rPr>
          <w:rFonts w:ascii="Times New Roman" w:hAnsi="Times New Roman" w:cs="Times New Roman"/>
          <w:i/>
          <w:iCs/>
          <w:sz w:val="20"/>
          <w:szCs w:val="20"/>
          <w:shd w:val="clear" w:color="auto" w:fill="FFFFFF"/>
        </w:rPr>
        <w:t>Review of Accounting Studies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26</w:t>
      </w:r>
      <w:r w:rsidRPr="004146A4">
        <w:rPr>
          <w:rFonts w:ascii="Times New Roman" w:hAnsi="Times New Roman" w:cs="Times New Roman"/>
          <w:sz w:val="20"/>
          <w:szCs w:val="20"/>
          <w:shd w:val="clear" w:color="auto" w:fill="FFFFFF"/>
        </w:rPr>
        <w:t>(3), 1176-1248.</w:t>
      </w:r>
    </w:p>
    <w:p w14:paraId="64CC1330" w14:textId="262AE123" w:rsidR="00413360" w:rsidRPr="004146A4" w:rsidRDefault="00413360"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Clarke, H. M. (2014). Predicting the decision to report sexual harassment: Organizational influences and the theory of planned behavior. </w:t>
      </w:r>
      <w:r w:rsidRPr="004146A4">
        <w:rPr>
          <w:rFonts w:ascii="Times New Roman" w:hAnsi="Times New Roman" w:cs="Times New Roman"/>
          <w:i/>
          <w:iCs/>
          <w:sz w:val="20"/>
          <w:szCs w:val="20"/>
          <w:shd w:val="clear" w:color="auto" w:fill="FFFFFF"/>
        </w:rPr>
        <w:t>Journal of Organizational Psychology</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14</w:t>
      </w:r>
      <w:r w:rsidRPr="004146A4">
        <w:rPr>
          <w:rFonts w:ascii="Times New Roman" w:hAnsi="Times New Roman" w:cs="Times New Roman"/>
          <w:sz w:val="20"/>
          <w:szCs w:val="20"/>
          <w:shd w:val="clear" w:color="auto" w:fill="FFFFFF"/>
        </w:rPr>
        <w:t>(2), 52.</w:t>
      </w:r>
    </w:p>
    <w:p w14:paraId="0E522B0E" w14:textId="4C32281B" w:rsidR="00323B82" w:rsidRPr="004146A4" w:rsidRDefault="00323B8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Cohen, R., Holder-Webb, L., &amp; Zamora, V. L. (2015). Nonfinancial information preferences of professional investors. </w:t>
      </w:r>
      <w:r w:rsidRPr="004146A4">
        <w:rPr>
          <w:rFonts w:ascii="Times New Roman" w:hAnsi="Times New Roman" w:cs="Times New Roman"/>
          <w:i/>
          <w:iCs/>
          <w:sz w:val="20"/>
          <w:szCs w:val="20"/>
        </w:rPr>
        <w:t>Behavioral Research in Accounting</w:t>
      </w:r>
      <w:r w:rsidRPr="004146A4">
        <w:rPr>
          <w:rFonts w:ascii="Times New Roman" w:hAnsi="Times New Roman" w:cs="Times New Roman"/>
          <w:sz w:val="20"/>
          <w:szCs w:val="20"/>
        </w:rPr>
        <w:t>, 27(2), 127–153.</w:t>
      </w:r>
    </w:p>
    <w:p w14:paraId="21A99CB6" w14:textId="050558B0" w:rsidR="00CC00D6" w:rsidRPr="004146A4" w:rsidRDefault="00CC00D6"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Committee on the Impacts of Sexual Harassment in Academia, Committee on Women in Science, Engineering, and Medicine, Policy and Global Affairs, &amp; National Academies of Sciences, Engineering, and Medicine. (2018). </w:t>
      </w:r>
      <w:r w:rsidRPr="004146A4">
        <w:rPr>
          <w:rFonts w:ascii="Times New Roman" w:hAnsi="Times New Roman" w:cs="Times New Roman"/>
          <w:i/>
          <w:iCs/>
          <w:sz w:val="20"/>
          <w:szCs w:val="20"/>
        </w:rPr>
        <w:t xml:space="preserve">Sexual Harassment of Women: Climate, Culture, and Consequences in Academic Sciences, Engineering, and Medicine </w:t>
      </w:r>
      <w:r w:rsidRPr="004146A4">
        <w:rPr>
          <w:rFonts w:ascii="Times New Roman" w:hAnsi="Times New Roman" w:cs="Times New Roman"/>
          <w:sz w:val="20"/>
          <w:szCs w:val="20"/>
        </w:rPr>
        <w:t xml:space="preserve">(P. A. Johnson, S. E. Widnall, &amp; F. F. Benya, Eds.; p. 24994). National Academies Press. </w:t>
      </w:r>
    </w:p>
    <w:p w14:paraId="21D443C6" w14:textId="4D14B5E7" w:rsidR="002E2026" w:rsidRPr="004146A4" w:rsidRDefault="002E2026"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Cooper, S. M., &amp; Owen, D. L. (2007). Corporate social reporting and stakeholder accountability: The missing link. </w:t>
      </w:r>
      <w:r w:rsidRPr="004146A4">
        <w:rPr>
          <w:rFonts w:ascii="Times New Roman" w:hAnsi="Times New Roman" w:cs="Times New Roman"/>
          <w:i/>
          <w:iCs/>
          <w:sz w:val="20"/>
          <w:szCs w:val="20"/>
        </w:rPr>
        <w:t>Accounting, Organizations and Society</w:t>
      </w:r>
      <w:r w:rsidRPr="004146A4">
        <w:rPr>
          <w:rFonts w:ascii="Times New Roman" w:hAnsi="Times New Roman" w:cs="Times New Roman"/>
          <w:sz w:val="20"/>
          <w:szCs w:val="20"/>
        </w:rPr>
        <w:t>, 32(7–8), 649–667.</w:t>
      </w:r>
    </w:p>
    <w:p w14:paraId="36D263E1" w14:textId="19BFE602" w:rsidR="00CC5DC9" w:rsidRPr="004146A4" w:rsidRDefault="00CC5DC9"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Cortina, L. M., &amp; Berdahl, J. L. (2008). Sexual harassment in organizations: A decade of research in review. </w:t>
      </w:r>
      <w:r w:rsidRPr="004146A4">
        <w:rPr>
          <w:rFonts w:ascii="Times New Roman" w:hAnsi="Times New Roman" w:cs="Times New Roman"/>
          <w:i/>
          <w:iCs/>
          <w:sz w:val="20"/>
          <w:szCs w:val="20"/>
          <w:shd w:val="clear" w:color="auto" w:fill="FFFFFF"/>
        </w:rPr>
        <w:t xml:space="preserve">Handbook of </w:t>
      </w:r>
      <w:r w:rsidR="006812E4" w:rsidRPr="004146A4">
        <w:rPr>
          <w:rFonts w:ascii="Times New Roman" w:hAnsi="Times New Roman" w:cs="Times New Roman"/>
          <w:i/>
          <w:iCs/>
          <w:sz w:val="20"/>
          <w:szCs w:val="20"/>
          <w:shd w:val="clear" w:color="auto" w:fill="FFFFFF"/>
        </w:rPr>
        <w:t>O</w:t>
      </w:r>
      <w:r w:rsidRPr="004146A4">
        <w:rPr>
          <w:rFonts w:ascii="Times New Roman" w:hAnsi="Times New Roman" w:cs="Times New Roman"/>
          <w:i/>
          <w:iCs/>
          <w:sz w:val="20"/>
          <w:szCs w:val="20"/>
          <w:shd w:val="clear" w:color="auto" w:fill="FFFFFF"/>
        </w:rPr>
        <w:t xml:space="preserve">rganizational </w:t>
      </w:r>
      <w:r w:rsidR="006812E4" w:rsidRPr="004146A4">
        <w:rPr>
          <w:rFonts w:ascii="Times New Roman" w:hAnsi="Times New Roman" w:cs="Times New Roman"/>
          <w:i/>
          <w:iCs/>
          <w:sz w:val="20"/>
          <w:szCs w:val="20"/>
          <w:shd w:val="clear" w:color="auto" w:fill="FFFFFF"/>
        </w:rPr>
        <w:t>B</w:t>
      </w:r>
      <w:r w:rsidRPr="004146A4">
        <w:rPr>
          <w:rFonts w:ascii="Times New Roman" w:hAnsi="Times New Roman" w:cs="Times New Roman"/>
          <w:i/>
          <w:iCs/>
          <w:sz w:val="20"/>
          <w:szCs w:val="20"/>
          <w:shd w:val="clear" w:color="auto" w:fill="FFFFFF"/>
        </w:rPr>
        <w:t>ehavior</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w:t>
      </w:r>
      <w:r w:rsidRPr="004146A4">
        <w:rPr>
          <w:rFonts w:ascii="Times New Roman" w:hAnsi="Times New Roman" w:cs="Times New Roman"/>
          <w:sz w:val="20"/>
          <w:szCs w:val="20"/>
          <w:shd w:val="clear" w:color="auto" w:fill="FFFFFF"/>
        </w:rPr>
        <w:t>, 469-497.</w:t>
      </w:r>
    </w:p>
    <w:p w14:paraId="37895593" w14:textId="3927FEFA"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Cortina, L. M., Lonsway, K. A., Magley, V. J., Freeman, L. V., Collinsworth, L. L., Hunter, M., &amp; Fitzgerald, L. F. (2002). What’s gender got to do with it? Incivility in the federal courts. </w:t>
      </w:r>
      <w:r w:rsidRPr="004146A4">
        <w:rPr>
          <w:rFonts w:ascii="Times New Roman" w:hAnsi="Times New Roman" w:cs="Times New Roman"/>
          <w:i/>
          <w:iCs/>
          <w:sz w:val="20"/>
          <w:szCs w:val="20"/>
        </w:rPr>
        <w:t>Law and Social Inquiry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27</w:t>
      </w:r>
      <w:r w:rsidRPr="004146A4">
        <w:rPr>
          <w:rFonts w:ascii="Times New Roman" w:hAnsi="Times New Roman" w:cs="Times New Roman"/>
          <w:sz w:val="20"/>
          <w:szCs w:val="20"/>
        </w:rPr>
        <w:t xml:space="preserve">, 235–270. </w:t>
      </w:r>
    </w:p>
    <w:p w14:paraId="5E8ED734" w14:textId="64DFB558" w:rsidR="002E2026" w:rsidRPr="004146A4" w:rsidRDefault="002E2026"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Cuomo, F., Gaia, S., Girardone, C., &amp; Piserà, S. (2022). The effects of the EU non-financial reporting directive on corporate social responsibility. </w:t>
      </w:r>
      <w:r w:rsidRPr="004146A4">
        <w:rPr>
          <w:rFonts w:ascii="Times New Roman" w:hAnsi="Times New Roman" w:cs="Times New Roman"/>
          <w:i/>
          <w:iCs/>
          <w:sz w:val="20"/>
          <w:szCs w:val="20"/>
          <w:shd w:val="clear" w:color="auto" w:fill="FFFFFF"/>
        </w:rPr>
        <w:t>The European Journal of Finance</w:t>
      </w:r>
      <w:r w:rsidRPr="004146A4">
        <w:rPr>
          <w:rFonts w:ascii="Times New Roman" w:hAnsi="Times New Roman" w:cs="Times New Roman"/>
          <w:sz w:val="20"/>
          <w:szCs w:val="20"/>
          <w:shd w:val="clear" w:color="auto" w:fill="FFFFFF"/>
        </w:rPr>
        <w:t>, 1-27.</w:t>
      </w:r>
    </w:p>
    <w:p w14:paraId="11FC26D4" w14:textId="0E0FB375" w:rsidR="00BA5950" w:rsidRPr="004146A4" w:rsidRDefault="00BA5950"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Deegan, C. (2002). Introduction: The legitimising effect of social and environmental disclosures—A theoretical foundation. </w:t>
      </w:r>
      <w:r w:rsidRPr="004146A4">
        <w:rPr>
          <w:rFonts w:ascii="Times New Roman" w:hAnsi="Times New Roman" w:cs="Times New Roman"/>
          <w:i/>
          <w:iCs/>
          <w:sz w:val="20"/>
          <w:szCs w:val="20"/>
        </w:rPr>
        <w:t>Accounting, Auditing &amp; Accountability Journal</w:t>
      </w:r>
      <w:r w:rsidRPr="004146A4">
        <w:rPr>
          <w:rFonts w:ascii="Times New Roman" w:hAnsi="Times New Roman" w:cs="Times New Roman"/>
          <w:sz w:val="20"/>
          <w:szCs w:val="20"/>
        </w:rPr>
        <w:t>, 15(3), 282–311.</w:t>
      </w:r>
    </w:p>
    <w:p w14:paraId="742BD244" w14:textId="4E6D88A6" w:rsidR="008206F3" w:rsidRPr="004146A4" w:rsidRDefault="008206F3" w:rsidP="00C4014A">
      <w:pPr>
        <w:spacing w:line="276" w:lineRule="auto"/>
        <w:ind w:firstLine="284"/>
        <w:jc w:val="both"/>
        <w:rPr>
          <w:rStyle w:val="Hyperlink"/>
          <w:rFonts w:ascii="Times New Roman" w:hAnsi="Times New Roman" w:cs="Times New Roman"/>
          <w:color w:val="auto"/>
          <w:sz w:val="20"/>
          <w:szCs w:val="20"/>
        </w:rPr>
      </w:pPr>
      <w:r w:rsidRPr="004146A4">
        <w:rPr>
          <w:rFonts w:ascii="Times New Roman" w:hAnsi="Times New Roman" w:cs="Times New Roman"/>
          <w:sz w:val="20"/>
          <w:szCs w:val="20"/>
        </w:rPr>
        <w:lastRenderedPageBreak/>
        <w:t xml:space="preserve">de Haas, S., Timmerman, G., &amp; Höing, M. (2009). Sexual harassment and health among male and female police officers. </w:t>
      </w:r>
      <w:r w:rsidRPr="004146A4">
        <w:rPr>
          <w:rFonts w:ascii="Times New Roman" w:hAnsi="Times New Roman" w:cs="Times New Roman"/>
          <w:i/>
          <w:iCs/>
          <w:sz w:val="20"/>
          <w:szCs w:val="20"/>
        </w:rPr>
        <w:t>Journal of Occupational Health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14</w:t>
      </w:r>
      <w:r w:rsidRPr="004146A4">
        <w:rPr>
          <w:rFonts w:ascii="Times New Roman" w:hAnsi="Times New Roman" w:cs="Times New Roman"/>
          <w:sz w:val="20"/>
          <w:szCs w:val="20"/>
        </w:rPr>
        <w:t xml:space="preserve">, 390–401. </w:t>
      </w:r>
    </w:p>
    <w:p w14:paraId="7CA449B0" w14:textId="78A26554" w:rsidR="0045035E" w:rsidRPr="004146A4" w:rsidRDefault="0045035E"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Di Miceli da Silveira, A. (2022). Corporate governance and ethical culture: Do boards matter?. </w:t>
      </w:r>
      <w:r w:rsidRPr="004146A4">
        <w:rPr>
          <w:rFonts w:ascii="Times New Roman" w:hAnsi="Times New Roman" w:cs="Times New Roman"/>
          <w:i/>
          <w:iCs/>
          <w:sz w:val="20"/>
          <w:szCs w:val="20"/>
          <w:shd w:val="clear" w:color="auto" w:fill="FFFFFF"/>
        </w:rPr>
        <w:t>Review of Managerial Science</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16</w:t>
      </w:r>
      <w:r w:rsidRPr="004146A4">
        <w:rPr>
          <w:rFonts w:ascii="Times New Roman" w:hAnsi="Times New Roman" w:cs="Times New Roman"/>
          <w:sz w:val="20"/>
          <w:szCs w:val="20"/>
          <w:shd w:val="clear" w:color="auto" w:fill="FFFFFF"/>
        </w:rPr>
        <w:t>(4), 1085-1116.</w:t>
      </w:r>
    </w:p>
    <w:p w14:paraId="0C9A2CDA" w14:textId="06A05B2B" w:rsidR="00BA5950" w:rsidRPr="004146A4" w:rsidRDefault="00BA5950"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Doane, D. (2002). Market failure: The case for mandatory social and environmental reporting. London: New Economics Foundation.</w:t>
      </w:r>
    </w:p>
    <w:p w14:paraId="29C09C84" w14:textId="5D17823E" w:rsidR="002B1B92" w:rsidRPr="004146A4" w:rsidRDefault="002B1B9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Dobbin, F., &amp; Kelly, E. L. (2007). How to stop harassment: Professional construction of legal compliance in organizations. </w:t>
      </w:r>
      <w:r w:rsidRPr="004146A4">
        <w:rPr>
          <w:rFonts w:ascii="Times New Roman" w:hAnsi="Times New Roman" w:cs="Times New Roman"/>
          <w:i/>
          <w:iCs/>
          <w:sz w:val="20"/>
          <w:szCs w:val="20"/>
          <w:shd w:val="clear" w:color="auto" w:fill="FFFFFF"/>
        </w:rPr>
        <w:t>American Journal of Sociology</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112</w:t>
      </w:r>
      <w:r w:rsidRPr="004146A4">
        <w:rPr>
          <w:rFonts w:ascii="Times New Roman" w:hAnsi="Times New Roman" w:cs="Times New Roman"/>
          <w:sz w:val="20"/>
          <w:szCs w:val="20"/>
          <w:shd w:val="clear" w:color="auto" w:fill="FFFFFF"/>
        </w:rPr>
        <w:t>(4), 1203-1243.</w:t>
      </w:r>
    </w:p>
    <w:p w14:paraId="5EC3A4BA" w14:textId="3F2BC10F" w:rsidR="008206F3"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Dodson, S. J., Goodwin, R. D., Graham, J., &amp; Diekmann, K. A. (2023). Moral Foundations, Himpathy, and Punishment Following Organizational Sexual Misconduct Allegations. </w:t>
      </w:r>
      <w:r w:rsidRPr="004146A4">
        <w:rPr>
          <w:rFonts w:ascii="Times New Roman" w:hAnsi="Times New Roman" w:cs="Times New Roman"/>
          <w:i/>
          <w:iCs/>
          <w:sz w:val="20"/>
          <w:szCs w:val="20"/>
        </w:rPr>
        <w:t>Organization Science</w:t>
      </w:r>
      <w:r w:rsidRPr="004146A4">
        <w:rPr>
          <w:rFonts w:ascii="Times New Roman" w:hAnsi="Times New Roman" w:cs="Times New Roman"/>
          <w:sz w:val="20"/>
          <w:szCs w:val="20"/>
        </w:rPr>
        <w:t>.</w:t>
      </w:r>
    </w:p>
    <w:p w14:paraId="47A267D8" w14:textId="77777777" w:rsidR="00570C33" w:rsidRPr="00570C33" w:rsidRDefault="00570C33" w:rsidP="00C4014A">
      <w:pPr>
        <w:spacing w:line="276" w:lineRule="auto"/>
        <w:ind w:firstLine="284"/>
        <w:jc w:val="both"/>
        <w:rPr>
          <w:rFonts w:ascii="Times New Roman" w:hAnsi="Times New Roman" w:cs="Times New Roman"/>
          <w:sz w:val="20"/>
          <w:szCs w:val="20"/>
          <w:shd w:val="clear" w:color="auto" w:fill="FFFFFF"/>
        </w:rPr>
      </w:pPr>
      <w:r w:rsidRPr="00570C33">
        <w:rPr>
          <w:rFonts w:ascii="Times New Roman" w:hAnsi="Times New Roman" w:cs="Times New Roman"/>
          <w:sz w:val="20"/>
          <w:szCs w:val="20"/>
          <w:shd w:val="clear" w:color="auto" w:fill="FFFFFF"/>
        </w:rPr>
        <w:t xml:space="preserve">European Commission, Directorate-General for </w:t>
      </w:r>
      <w:proofErr w:type="gramStart"/>
      <w:r w:rsidRPr="00570C33">
        <w:rPr>
          <w:rFonts w:ascii="Times New Roman" w:hAnsi="Times New Roman" w:cs="Times New Roman"/>
          <w:sz w:val="20"/>
          <w:szCs w:val="20"/>
          <w:shd w:val="clear" w:color="auto" w:fill="FFFFFF"/>
        </w:rPr>
        <w:t>Justice</w:t>
      </w:r>
      <w:proofErr w:type="gramEnd"/>
      <w:r w:rsidRPr="00570C33">
        <w:rPr>
          <w:rFonts w:ascii="Times New Roman" w:hAnsi="Times New Roman" w:cs="Times New Roman"/>
          <w:sz w:val="20"/>
          <w:szCs w:val="20"/>
          <w:shd w:val="clear" w:color="auto" w:fill="FFFFFF"/>
        </w:rPr>
        <w:t xml:space="preserve"> and Consumers, </w:t>
      </w:r>
      <w:proofErr w:type="spellStart"/>
      <w:r w:rsidRPr="00570C33">
        <w:rPr>
          <w:rFonts w:ascii="Times New Roman" w:hAnsi="Times New Roman" w:cs="Times New Roman"/>
          <w:sz w:val="20"/>
          <w:szCs w:val="20"/>
          <w:shd w:val="clear" w:color="auto" w:fill="FFFFFF"/>
        </w:rPr>
        <w:t>Böök</w:t>
      </w:r>
      <w:proofErr w:type="spellEnd"/>
      <w:r w:rsidRPr="00570C33">
        <w:rPr>
          <w:rFonts w:ascii="Times New Roman" w:hAnsi="Times New Roman" w:cs="Times New Roman"/>
          <w:sz w:val="20"/>
          <w:szCs w:val="20"/>
          <w:shd w:val="clear" w:color="auto" w:fill="FFFFFF"/>
        </w:rPr>
        <w:t xml:space="preserve">, B., Burri, S., Senden, L. (2023). A comparative analysis of gender equality law in Europe 2022 : the 27 EU Member States, Albania, Iceland, Liechtenstein, Montenegro, North Macedonia, Norway, Serbia, </w:t>
      </w:r>
      <w:proofErr w:type="gramStart"/>
      <w:r w:rsidRPr="00570C33">
        <w:rPr>
          <w:rFonts w:ascii="Times New Roman" w:hAnsi="Times New Roman" w:cs="Times New Roman"/>
          <w:sz w:val="20"/>
          <w:szCs w:val="20"/>
          <w:shd w:val="clear" w:color="auto" w:fill="FFFFFF"/>
        </w:rPr>
        <w:t>Türkiye</w:t>
      </w:r>
      <w:proofErr w:type="gramEnd"/>
      <w:r w:rsidRPr="00570C33">
        <w:rPr>
          <w:rFonts w:ascii="Times New Roman" w:hAnsi="Times New Roman" w:cs="Times New Roman"/>
          <w:sz w:val="20"/>
          <w:szCs w:val="20"/>
          <w:shd w:val="clear" w:color="auto" w:fill="FFFFFF"/>
        </w:rPr>
        <w:t xml:space="preserve"> and the United Kingdom compared, Publications Office of the European Union. </w:t>
      </w:r>
      <w:hyperlink r:id="rId10" w:tgtFrame="_blank" w:history="1">
        <w:r w:rsidRPr="00570C33">
          <w:rPr>
            <w:rFonts w:ascii="Times New Roman" w:hAnsi="Times New Roman" w:cs="Times New Roman"/>
          </w:rPr>
          <w:t>https://data.europa.eu/doi/10.2838/20664</w:t>
        </w:r>
      </w:hyperlink>
    </w:p>
    <w:p w14:paraId="7BCF1444" w14:textId="27F6F1AE" w:rsidR="001A0C92" w:rsidRPr="004146A4" w:rsidRDefault="001A0C9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Federal Ministry of Labor and Social Affairs (2024). Corporate Sustainability Reporting Directive (CSRD). </w:t>
      </w:r>
      <w:hyperlink r:id="rId11" w:history="1">
        <w:r w:rsidRPr="004146A4">
          <w:rPr>
            <w:rStyle w:val="Hyperlink"/>
            <w:rFonts w:ascii="Times New Roman" w:hAnsi="Times New Roman" w:cs="Times New Roman"/>
            <w:color w:val="auto"/>
            <w:sz w:val="20"/>
            <w:szCs w:val="20"/>
          </w:rPr>
          <w:t>https://www.csr-in-deutschland.de/DE/CSR-Allgemein/CSR-Politik/CSR-in-der-EU/Corporate-Sustainability-Reporting-Directive/corporate-sustainability-reporting-directive-art.html</w:t>
        </w:r>
      </w:hyperlink>
      <w:r w:rsidRPr="004146A4">
        <w:rPr>
          <w:rFonts w:ascii="Times New Roman" w:hAnsi="Times New Roman" w:cs="Times New Roman"/>
          <w:sz w:val="20"/>
          <w:szCs w:val="20"/>
        </w:rPr>
        <w:t>. Accessed on February 5, 2024.</w:t>
      </w:r>
    </w:p>
    <w:p w14:paraId="28F1DA46" w14:textId="5B1EF45F" w:rsidR="002B1B92" w:rsidRPr="004146A4" w:rsidRDefault="002B1B9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Fielden, S. L., Davidson, M. J., Woolnough, H., &amp; Hunt, C. (2010). A model of racialized sexual harassment of women in the UK workplace. </w:t>
      </w:r>
      <w:r w:rsidRPr="004146A4">
        <w:rPr>
          <w:rFonts w:ascii="Times New Roman" w:hAnsi="Times New Roman" w:cs="Times New Roman"/>
          <w:i/>
          <w:iCs/>
          <w:sz w:val="20"/>
          <w:szCs w:val="20"/>
          <w:shd w:val="clear" w:color="auto" w:fill="FFFFFF"/>
        </w:rPr>
        <w:t xml:space="preserve">Sex </w:t>
      </w:r>
      <w:r w:rsidR="006812E4" w:rsidRPr="004146A4">
        <w:rPr>
          <w:rFonts w:ascii="Times New Roman" w:hAnsi="Times New Roman" w:cs="Times New Roman"/>
          <w:i/>
          <w:iCs/>
          <w:sz w:val="20"/>
          <w:szCs w:val="20"/>
          <w:shd w:val="clear" w:color="auto" w:fill="FFFFFF"/>
        </w:rPr>
        <w:t>R</w:t>
      </w:r>
      <w:r w:rsidRPr="004146A4">
        <w:rPr>
          <w:rFonts w:ascii="Times New Roman" w:hAnsi="Times New Roman" w:cs="Times New Roman"/>
          <w:i/>
          <w:iCs/>
          <w:sz w:val="20"/>
          <w:szCs w:val="20"/>
          <w:shd w:val="clear" w:color="auto" w:fill="FFFFFF"/>
        </w:rPr>
        <w:t>oles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62</w:t>
      </w:r>
      <w:r w:rsidRPr="004146A4">
        <w:rPr>
          <w:rFonts w:ascii="Times New Roman" w:hAnsi="Times New Roman" w:cs="Times New Roman"/>
          <w:sz w:val="20"/>
          <w:szCs w:val="20"/>
          <w:shd w:val="clear" w:color="auto" w:fill="FFFFFF"/>
        </w:rPr>
        <w:t>, 20-34.</w:t>
      </w:r>
    </w:p>
    <w:p w14:paraId="679F67B1" w14:textId="683BD8A3" w:rsidR="006A2FC0" w:rsidRPr="004146A4" w:rsidRDefault="006A2FC0"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Fitzgerald, L. F., &amp; Cortina, L. M. (2017). Sexual harassment in work organisations: a view from the twenty-first century. </w:t>
      </w:r>
      <w:r w:rsidRPr="004146A4">
        <w:rPr>
          <w:rFonts w:ascii="Times New Roman" w:hAnsi="Times New Roman" w:cs="Times New Roman"/>
          <w:i/>
          <w:iCs/>
          <w:sz w:val="20"/>
          <w:szCs w:val="20"/>
          <w:shd w:val="clear" w:color="auto" w:fill="FFFFFF"/>
        </w:rPr>
        <w:t xml:space="preserve">APA </w:t>
      </w:r>
      <w:r w:rsidR="006812E4" w:rsidRPr="004146A4">
        <w:rPr>
          <w:rFonts w:ascii="Times New Roman" w:hAnsi="Times New Roman" w:cs="Times New Roman"/>
          <w:i/>
          <w:iCs/>
          <w:sz w:val="20"/>
          <w:szCs w:val="20"/>
          <w:shd w:val="clear" w:color="auto" w:fill="FFFFFF"/>
        </w:rPr>
        <w:t>H</w:t>
      </w:r>
      <w:r w:rsidRPr="004146A4">
        <w:rPr>
          <w:rFonts w:ascii="Times New Roman" w:hAnsi="Times New Roman" w:cs="Times New Roman"/>
          <w:i/>
          <w:iCs/>
          <w:sz w:val="20"/>
          <w:szCs w:val="20"/>
          <w:shd w:val="clear" w:color="auto" w:fill="FFFFFF"/>
        </w:rPr>
        <w:t xml:space="preserve">andbook of the </w:t>
      </w:r>
      <w:r w:rsidR="006812E4" w:rsidRPr="004146A4">
        <w:rPr>
          <w:rFonts w:ascii="Times New Roman" w:hAnsi="Times New Roman" w:cs="Times New Roman"/>
          <w:i/>
          <w:iCs/>
          <w:sz w:val="20"/>
          <w:szCs w:val="20"/>
          <w:shd w:val="clear" w:color="auto" w:fill="FFFFFF"/>
        </w:rPr>
        <w:t>P</w:t>
      </w:r>
      <w:r w:rsidRPr="004146A4">
        <w:rPr>
          <w:rFonts w:ascii="Times New Roman" w:hAnsi="Times New Roman" w:cs="Times New Roman"/>
          <w:i/>
          <w:iCs/>
          <w:sz w:val="20"/>
          <w:szCs w:val="20"/>
          <w:shd w:val="clear" w:color="auto" w:fill="FFFFFF"/>
        </w:rPr>
        <w:t xml:space="preserve">sychology of </w:t>
      </w:r>
      <w:r w:rsidR="006812E4" w:rsidRPr="004146A4">
        <w:rPr>
          <w:rFonts w:ascii="Times New Roman" w:hAnsi="Times New Roman" w:cs="Times New Roman"/>
          <w:i/>
          <w:iCs/>
          <w:sz w:val="20"/>
          <w:szCs w:val="20"/>
          <w:shd w:val="clear" w:color="auto" w:fill="FFFFFF"/>
        </w:rPr>
        <w:t>W</w:t>
      </w:r>
      <w:r w:rsidRPr="004146A4">
        <w:rPr>
          <w:rFonts w:ascii="Times New Roman" w:hAnsi="Times New Roman" w:cs="Times New Roman"/>
          <w:i/>
          <w:iCs/>
          <w:sz w:val="20"/>
          <w:szCs w:val="20"/>
          <w:shd w:val="clear" w:color="auto" w:fill="FFFFFF"/>
        </w:rPr>
        <w:t xml:space="preserve">omen APA. </w:t>
      </w:r>
      <w:hyperlink r:id="rId12" w:history="1">
        <w:r w:rsidR="006330CD" w:rsidRPr="004146A4">
          <w:rPr>
            <w:rStyle w:val="Hyperlink"/>
            <w:rFonts w:ascii="Times New Roman" w:hAnsi="Times New Roman" w:cs="Times New Roman"/>
            <w:i/>
            <w:iCs/>
            <w:color w:val="auto"/>
            <w:sz w:val="20"/>
            <w:szCs w:val="20"/>
            <w:shd w:val="clear" w:color="auto" w:fill="FFFFFF"/>
          </w:rPr>
          <w:t>http://www.apa.org/pubs/books/4311534.aspx</w:t>
        </w:r>
      </w:hyperlink>
      <w:r w:rsidRPr="004146A4">
        <w:rPr>
          <w:rFonts w:ascii="Times New Roman" w:hAnsi="Times New Roman" w:cs="Times New Roman"/>
          <w:sz w:val="20"/>
          <w:szCs w:val="20"/>
          <w:shd w:val="clear" w:color="auto" w:fill="FFFFFF"/>
        </w:rPr>
        <w:t>.</w:t>
      </w:r>
    </w:p>
    <w:p w14:paraId="0E98A883" w14:textId="5B201B40" w:rsidR="00B81F0F" w:rsidRPr="004146A4" w:rsidRDefault="00B81F0F"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 xml:space="preserve">Fitzgerald, L. F., Drasgow, F., Hulin, C. L., Gelfand, M. J., &amp; Magley, V. J. (1997). Antecedents and consequences of sexual harassment in organizations: A test of an integrated model. </w:t>
      </w:r>
      <w:r w:rsidRPr="004146A4">
        <w:rPr>
          <w:rFonts w:ascii="Times New Roman" w:hAnsi="Times New Roman" w:cs="Times New Roman"/>
          <w:i/>
          <w:iCs/>
          <w:sz w:val="20"/>
          <w:szCs w:val="20"/>
          <w:shd w:val="clear" w:color="auto" w:fill="FFFFFF"/>
        </w:rPr>
        <w:t>Journal of Applied Psychology</w:t>
      </w:r>
      <w:r w:rsidRPr="004146A4">
        <w:rPr>
          <w:rFonts w:ascii="Times New Roman" w:hAnsi="Times New Roman" w:cs="Times New Roman"/>
          <w:sz w:val="20"/>
          <w:szCs w:val="20"/>
          <w:shd w:val="clear" w:color="auto" w:fill="FFFFFF"/>
        </w:rPr>
        <w:t xml:space="preserve">, </w:t>
      </w:r>
      <w:r w:rsidRPr="004146A4">
        <w:rPr>
          <w:rFonts w:ascii="Times New Roman" w:hAnsi="Times New Roman" w:cs="Times New Roman"/>
          <w:i/>
          <w:iCs/>
          <w:sz w:val="20"/>
          <w:szCs w:val="20"/>
          <w:shd w:val="clear" w:color="auto" w:fill="FFFFFF"/>
        </w:rPr>
        <w:t>82</w:t>
      </w:r>
      <w:r w:rsidRPr="004146A4">
        <w:rPr>
          <w:rFonts w:ascii="Times New Roman" w:hAnsi="Times New Roman" w:cs="Times New Roman"/>
          <w:sz w:val="20"/>
          <w:szCs w:val="20"/>
          <w:shd w:val="clear" w:color="auto" w:fill="FFFFFF"/>
        </w:rPr>
        <w:t xml:space="preserve">, 578–589. </w:t>
      </w:r>
    </w:p>
    <w:p w14:paraId="5725D1E8" w14:textId="79C24302" w:rsidR="006330CD" w:rsidRPr="004146A4" w:rsidRDefault="006330CD"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rPr>
        <w:t xml:space="preserve">Fitzgerald, L. F., Gelfand, M. J., &amp; Drasgow, F. (1995). Measuring sexual harassment: Theoretical and psychometric advances. </w:t>
      </w:r>
      <w:r w:rsidRPr="004146A4">
        <w:rPr>
          <w:rFonts w:ascii="Times New Roman" w:hAnsi="Times New Roman" w:cs="Times New Roman"/>
          <w:i/>
          <w:iCs/>
          <w:sz w:val="20"/>
          <w:szCs w:val="20"/>
        </w:rPr>
        <w:t>Basic and Applied Social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17</w:t>
      </w:r>
      <w:r w:rsidRPr="004146A4">
        <w:rPr>
          <w:rFonts w:ascii="Times New Roman" w:hAnsi="Times New Roman" w:cs="Times New Roman"/>
          <w:sz w:val="20"/>
          <w:szCs w:val="20"/>
        </w:rPr>
        <w:t xml:space="preserve">(4), 425–445. </w:t>
      </w:r>
    </w:p>
    <w:p w14:paraId="1BE04DDC" w14:textId="2C919EFC" w:rsidR="004173D4" w:rsidRPr="004146A4" w:rsidRDefault="004173D4"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 xml:space="preserve">Fitzgerald, L. F., Shullman, S. L., Bailey, N., Richards, M., Swecker, J., Gold, Y., . . . Weitzman, L. (1988). The incidence and dimensions of sexual harassment in academia and the workplace. </w:t>
      </w:r>
      <w:r w:rsidRPr="004146A4">
        <w:rPr>
          <w:rFonts w:ascii="Times New Roman" w:hAnsi="Times New Roman" w:cs="Times New Roman"/>
          <w:i/>
          <w:iCs/>
          <w:sz w:val="20"/>
          <w:szCs w:val="20"/>
          <w:shd w:val="clear" w:color="auto" w:fill="FFFFFF"/>
        </w:rPr>
        <w:t>Journal of Vocational Behavior</w:t>
      </w:r>
      <w:r w:rsidRPr="004146A4">
        <w:rPr>
          <w:rFonts w:ascii="Times New Roman" w:hAnsi="Times New Roman" w:cs="Times New Roman"/>
          <w:sz w:val="20"/>
          <w:szCs w:val="20"/>
          <w:shd w:val="clear" w:color="auto" w:fill="FFFFFF"/>
        </w:rPr>
        <w:t xml:space="preserve">, </w:t>
      </w:r>
      <w:r w:rsidRPr="004146A4">
        <w:rPr>
          <w:rFonts w:ascii="Times New Roman" w:hAnsi="Times New Roman" w:cs="Times New Roman"/>
          <w:i/>
          <w:iCs/>
          <w:sz w:val="20"/>
          <w:szCs w:val="20"/>
          <w:shd w:val="clear" w:color="auto" w:fill="FFFFFF"/>
        </w:rPr>
        <w:t>32</w:t>
      </w:r>
      <w:r w:rsidRPr="004146A4">
        <w:rPr>
          <w:rFonts w:ascii="Times New Roman" w:hAnsi="Times New Roman" w:cs="Times New Roman"/>
          <w:sz w:val="20"/>
          <w:szCs w:val="20"/>
          <w:shd w:val="clear" w:color="auto" w:fill="FFFFFF"/>
        </w:rPr>
        <w:t xml:space="preserve">, 152–175. </w:t>
      </w:r>
    </w:p>
    <w:p w14:paraId="1CFF1B30" w14:textId="04DAD1BF" w:rsidR="00413360" w:rsidRPr="004146A4" w:rsidRDefault="00413360"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Foster, P., &amp; Fullagar, C. (2018). Why don’t we report sexual harassment? An application of the theory of planned behavior. </w:t>
      </w:r>
      <w:r w:rsidRPr="004146A4">
        <w:rPr>
          <w:rFonts w:ascii="Times New Roman" w:hAnsi="Times New Roman" w:cs="Times New Roman"/>
          <w:i/>
          <w:iCs/>
          <w:sz w:val="20"/>
          <w:szCs w:val="20"/>
        </w:rPr>
        <w:t>Basic and Applied Social Psychology</w:t>
      </w:r>
      <w:r w:rsidRPr="004146A4">
        <w:rPr>
          <w:rFonts w:ascii="Times New Roman" w:hAnsi="Times New Roman" w:cs="Times New Roman"/>
          <w:sz w:val="20"/>
          <w:szCs w:val="20"/>
        </w:rPr>
        <w:t xml:space="preserve"> 40(3), 148-160.</w:t>
      </w:r>
    </w:p>
    <w:p w14:paraId="7BDF5BBE" w14:textId="426C6AF2" w:rsidR="009153C3" w:rsidRPr="004146A4" w:rsidRDefault="009153C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lang w:val="de-DE"/>
        </w:rPr>
        <w:t xml:space="preserve">Giner, B., &amp; Luque-Vílchez, M. (2022). </w:t>
      </w:r>
      <w:r w:rsidRPr="004146A4">
        <w:rPr>
          <w:rFonts w:ascii="Times New Roman" w:hAnsi="Times New Roman" w:cs="Times New Roman"/>
          <w:sz w:val="20"/>
          <w:szCs w:val="20"/>
        </w:rPr>
        <w:t>A commentary on the “new” institutional actors in sustainability reporting standard-setting: a European perspective. </w:t>
      </w:r>
      <w:r w:rsidRPr="004146A4">
        <w:rPr>
          <w:rFonts w:ascii="Times New Roman" w:hAnsi="Times New Roman" w:cs="Times New Roman"/>
          <w:i/>
          <w:iCs/>
          <w:sz w:val="20"/>
          <w:szCs w:val="20"/>
        </w:rPr>
        <w:t xml:space="preserve">Sustainability </w:t>
      </w:r>
      <w:r w:rsidR="006812E4" w:rsidRPr="004146A4">
        <w:rPr>
          <w:rFonts w:ascii="Times New Roman" w:hAnsi="Times New Roman" w:cs="Times New Roman"/>
          <w:i/>
          <w:iCs/>
          <w:sz w:val="20"/>
          <w:szCs w:val="20"/>
        </w:rPr>
        <w:t>A</w:t>
      </w:r>
      <w:r w:rsidRPr="004146A4">
        <w:rPr>
          <w:rFonts w:ascii="Times New Roman" w:hAnsi="Times New Roman" w:cs="Times New Roman"/>
          <w:i/>
          <w:iCs/>
          <w:sz w:val="20"/>
          <w:szCs w:val="20"/>
        </w:rPr>
        <w:t xml:space="preserve">ccounting, </w:t>
      </w:r>
      <w:r w:rsidR="006812E4" w:rsidRPr="004146A4">
        <w:rPr>
          <w:rFonts w:ascii="Times New Roman" w:hAnsi="Times New Roman" w:cs="Times New Roman"/>
          <w:i/>
          <w:iCs/>
          <w:sz w:val="20"/>
          <w:szCs w:val="20"/>
        </w:rPr>
        <w:t>M</w:t>
      </w:r>
      <w:r w:rsidRPr="004146A4">
        <w:rPr>
          <w:rFonts w:ascii="Times New Roman" w:hAnsi="Times New Roman" w:cs="Times New Roman"/>
          <w:i/>
          <w:iCs/>
          <w:sz w:val="20"/>
          <w:szCs w:val="20"/>
        </w:rPr>
        <w:t xml:space="preserve">anagement and </w:t>
      </w:r>
      <w:r w:rsidR="006812E4" w:rsidRPr="004146A4">
        <w:rPr>
          <w:rFonts w:ascii="Times New Roman" w:hAnsi="Times New Roman" w:cs="Times New Roman"/>
          <w:i/>
          <w:iCs/>
          <w:sz w:val="20"/>
          <w:szCs w:val="20"/>
        </w:rPr>
        <w:t>P</w:t>
      </w:r>
      <w:r w:rsidRPr="004146A4">
        <w:rPr>
          <w:rFonts w:ascii="Times New Roman" w:hAnsi="Times New Roman" w:cs="Times New Roman"/>
          <w:i/>
          <w:iCs/>
          <w:sz w:val="20"/>
          <w:szCs w:val="20"/>
        </w:rPr>
        <w:t xml:space="preserve">olicy </w:t>
      </w:r>
      <w:r w:rsidR="006812E4" w:rsidRPr="004146A4">
        <w:rPr>
          <w:rFonts w:ascii="Times New Roman" w:hAnsi="Times New Roman" w:cs="Times New Roman"/>
          <w:i/>
          <w:iCs/>
          <w:sz w:val="20"/>
          <w:szCs w:val="20"/>
        </w:rPr>
        <w:t>J</w:t>
      </w:r>
      <w:r w:rsidRPr="004146A4">
        <w:rPr>
          <w:rFonts w:ascii="Times New Roman" w:hAnsi="Times New Roman" w:cs="Times New Roman"/>
          <w:i/>
          <w:iCs/>
          <w:sz w:val="20"/>
          <w:szCs w:val="20"/>
        </w:rPr>
        <w:t>ournal</w:t>
      </w:r>
      <w:r w:rsidRPr="004146A4">
        <w:rPr>
          <w:rFonts w:ascii="Times New Roman" w:hAnsi="Times New Roman" w:cs="Times New Roman"/>
          <w:sz w:val="20"/>
          <w:szCs w:val="20"/>
        </w:rPr>
        <w:t>, 13(6), 1284-1309.</w:t>
      </w:r>
    </w:p>
    <w:p w14:paraId="0ED1B346" w14:textId="19B77809" w:rsidR="00987AF9" w:rsidRPr="004146A4" w:rsidRDefault="00987AF9"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Glomb, T. M., Richman, W. L., Hulin, C. L., Drasgow, F., Schneider, K. T., &amp; Fitzgerald, L. F. (1997). Ambient sexual harassment: An integrated model of antecedents and consequences. </w:t>
      </w:r>
      <w:r w:rsidRPr="004146A4">
        <w:rPr>
          <w:rFonts w:ascii="Times New Roman" w:hAnsi="Times New Roman" w:cs="Times New Roman"/>
          <w:i/>
          <w:iCs/>
          <w:sz w:val="20"/>
          <w:szCs w:val="20"/>
          <w:shd w:val="clear" w:color="auto" w:fill="FFFFFF"/>
        </w:rPr>
        <w:t>Organizational Behavior and Human Decision Processes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71</w:t>
      </w:r>
      <w:r w:rsidRPr="004146A4">
        <w:rPr>
          <w:rFonts w:ascii="Times New Roman" w:hAnsi="Times New Roman" w:cs="Times New Roman"/>
          <w:sz w:val="20"/>
          <w:szCs w:val="20"/>
          <w:shd w:val="clear" w:color="auto" w:fill="FFFFFF"/>
        </w:rPr>
        <w:t>(3), 309-328.</w:t>
      </w:r>
    </w:p>
    <w:p w14:paraId="560EA082" w14:textId="784921B2" w:rsidR="00DF0DC6" w:rsidRPr="004146A4" w:rsidRDefault="00DF0DC6"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Gomes, G. M., Owens, J. M., &amp; Morgan, J. F. (2004). Prohibiting sexual harassment in the European Union: An unfinished public policy agenda. </w:t>
      </w:r>
      <w:r w:rsidRPr="004146A4">
        <w:rPr>
          <w:rFonts w:ascii="Times New Roman" w:hAnsi="Times New Roman" w:cs="Times New Roman"/>
          <w:i/>
          <w:iCs/>
          <w:sz w:val="20"/>
          <w:szCs w:val="20"/>
          <w:shd w:val="clear" w:color="auto" w:fill="FFFFFF"/>
        </w:rPr>
        <w:t>Employee Relations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26</w:t>
      </w:r>
      <w:r w:rsidRPr="004146A4">
        <w:rPr>
          <w:rFonts w:ascii="Times New Roman" w:hAnsi="Times New Roman" w:cs="Times New Roman"/>
          <w:sz w:val="20"/>
          <w:szCs w:val="20"/>
          <w:shd w:val="clear" w:color="auto" w:fill="FFFFFF"/>
        </w:rPr>
        <w:t>(3), 292-306.</w:t>
      </w:r>
    </w:p>
    <w:p w14:paraId="6BD60CFA" w14:textId="112E00B8" w:rsidR="00323B82" w:rsidRPr="004146A4" w:rsidRDefault="00323B82"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G</w:t>
      </w:r>
      <w:r w:rsidRPr="004146A4">
        <w:rPr>
          <w:rFonts w:ascii="Times New Roman" w:hAnsi="Times New Roman" w:cs="Times New Roman"/>
          <w:sz w:val="20"/>
          <w:szCs w:val="20"/>
        </w:rPr>
        <w:t xml:space="preserve">rewal, J., E. J. Riedl, and G. Serafeim. 2019. “Market Reaction to Mandatory Nonfinancial Disclosure.” </w:t>
      </w:r>
      <w:r w:rsidRPr="004146A4">
        <w:rPr>
          <w:rFonts w:ascii="Times New Roman" w:hAnsi="Times New Roman" w:cs="Times New Roman"/>
          <w:i/>
          <w:iCs/>
          <w:sz w:val="20"/>
          <w:szCs w:val="20"/>
        </w:rPr>
        <w:t>Management Science</w:t>
      </w:r>
      <w:r w:rsidRPr="004146A4">
        <w:rPr>
          <w:rFonts w:ascii="Times New Roman" w:hAnsi="Times New Roman" w:cs="Times New Roman"/>
          <w:sz w:val="20"/>
          <w:szCs w:val="20"/>
        </w:rPr>
        <w:t xml:space="preserve"> 65 (7): 3061–3084.</w:t>
      </w:r>
    </w:p>
    <w:p w14:paraId="02C26DE6" w14:textId="09A0CFAF" w:rsidR="00F251A8" w:rsidRPr="004146A4" w:rsidRDefault="00F251A8"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lastRenderedPageBreak/>
        <w:t>Grossman, J. L. (2003). The culture of compliance: The final triumph of form over substance in sexual harassment law. </w:t>
      </w:r>
      <w:r w:rsidRPr="004146A4">
        <w:rPr>
          <w:rFonts w:ascii="Times New Roman" w:hAnsi="Times New Roman" w:cs="Times New Roman"/>
          <w:i/>
          <w:iCs/>
          <w:sz w:val="20"/>
          <w:szCs w:val="20"/>
          <w:shd w:val="clear" w:color="auto" w:fill="FFFFFF"/>
        </w:rPr>
        <w:t>Harv. Women's LJ</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26</w:t>
      </w:r>
      <w:r w:rsidRPr="004146A4">
        <w:rPr>
          <w:rFonts w:ascii="Times New Roman" w:hAnsi="Times New Roman" w:cs="Times New Roman"/>
          <w:sz w:val="20"/>
          <w:szCs w:val="20"/>
          <w:shd w:val="clear" w:color="auto" w:fill="FFFFFF"/>
        </w:rPr>
        <w:t>, 3.</w:t>
      </w:r>
    </w:p>
    <w:p w14:paraId="3EDC1291" w14:textId="574FD9C1" w:rsidR="009153C3" w:rsidRPr="004146A4" w:rsidRDefault="009153C3"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HAHNKAMPER-VANDENBULCKE, N. (2021). Non-financial Reporting Directive.</w:t>
      </w:r>
    </w:p>
    <w:p w14:paraId="24510B91" w14:textId="02F8F3B4" w:rsidR="008206F3" w:rsidRPr="004146A4" w:rsidRDefault="008206F3"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 xml:space="preserve">Halper, L. R., &amp; Rios, K. 2019. Feeling powerful but incompetent: Fear of negative evaluation predicts men’s sexual harassment of subordinates. </w:t>
      </w:r>
      <w:r w:rsidRPr="004146A4">
        <w:rPr>
          <w:rFonts w:ascii="Times New Roman" w:hAnsi="Times New Roman" w:cs="Times New Roman"/>
          <w:i/>
          <w:iCs/>
          <w:sz w:val="20"/>
          <w:szCs w:val="20"/>
          <w:shd w:val="clear" w:color="auto" w:fill="FFFFFF"/>
        </w:rPr>
        <w:t>Sex Roles</w:t>
      </w:r>
      <w:r w:rsidRPr="004146A4">
        <w:rPr>
          <w:rFonts w:ascii="Times New Roman" w:hAnsi="Times New Roman" w:cs="Times New Roman"/>
          <w:sz w:val="20"/>
          <w:szCs w:val="20"/>
          <w:shd w:val="clear" w:color="auto" w:fill="FFFFFF"/>
        </w:rPr>
        <w:t>, 80: 247-261.</w:t>
      </w:r>
    </w:p>
    <w:p w14:paraId="0479384A" w14:textId="698CFBBE" w:rsidR="00B81F0F" w:rsidRPr="004146A4" w:rsidRDefault="00B81F0F" w:rsidP="00C4014A">
      <w:pPr>
        <w:spacing w:line="276" w:lineRule="auto"/>
        <w:ind w:firstLine="284"/>
        <w:jc w:val="both"/>
        <w:rPr>
          <w:rStyle w:val="Hyperlink"/>
          <w:rFonts w:ascii="Times New Roman" w:hAnsi="Times New Roman" w:cs="Times New Roman"/>
          <w:color w:val="auto"/>
          <w:sz w:val="20"/>
          <w:szCs w:val="20"/>
        </w:rPr>
      </w:pPr>
      <w:r w:rsidRPr="004146A4">
        <w:rPr>
          <w:rFonts w:ascii="Times New Roman" w:hAnsi="Times New Roman" w:cs="Times New Roman"/>
          <w:sz w:val="20"/>
          <w:szCs w:val="20"/>
        </w:rPr>
        <w:t xml:space="preserve">Harned, M. S., &amp; Fitzgerald, L. F. (2002). Understanding a link between sexual harassment and eating disorder symptoms: A mediational analysis. </w:t>
      </w:r>
      <w:r w:rsidRPr="004146A4">
        <w:rPr>
          <w:rFonts w:ascii="Times New Roman" w:hAnsi="Times New Roman" w:cs="Times New Roman"/>
          <w:i/>
          <w:iCs/>
          <w:sz w:val="20"/>
          <w:szCs w:val="20"/>
        </w:rPr>
        <w:t>Journal of Consulting and Clinical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70</w:t>
      </w:r>
      <w:r w:rsidRPr="004146A4">
        <w:rPr>
          <w:rFonts w:ascii="Times New Roman" w:hAnsi="Times New Roman" w:cs="Times New Roman"/>
          <w:sz w:val="20"/>
          <w:szCs w:val="20"/>
        </w:rPr>
        <w:t xml:space="preserve">, 1170–1181. </w:t>
      </w:r>
    </w:p>
    <w:p w14:paraId="2585F37A" w14:textId="6D02B942" w:rsidR="002B1B92" w:rsidRPr="004146A4" w:rsidRDefault="002B1B92"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Hayes, P. (2005). Taking it seriously: Contemporary experiences of sexual harassment in the workplace. </w:t>
      </w:r>
      <w:r w:rsidRPr="004146A4">
        <w:rPr>
          <w:rFonts w:ascii="Times New Roman" w:hAnsi="Times New Roman" w:cs="Times New Roman"/>
          <w:i/>
          <w:iCs/>
          <w:sz w:val="20"/>
          <w:szCs w:val="20"/>
          <w:shd w:val="clear" w:color="auto" w:fill="FFFFFF"/>
        </w:rPr>
        <w:t>Women Against Violence: An Australian Feminist Journal</w:t>
      </w:r>
      <w:r w:rsidRPr="004146A4">
        <w:rPr>
          <w:rFonts w:ascii="Times New Roman" w:hAnsi="Times New Roman" w:cs="Times New Roman"/>
          <w:sz w:val="20"/>
          <w:szCs w:val="20"/>
          <w:shd w:val="clear" w:color="auto" w:fill="FFFFFF"/>
        </w:rPr>
        <w:t>, (16), 54-55.</w:t>
      </w:r>
    </w:p>
    <w:p w14:paraId="76EFB456" w14:textId="696D90D2" w:rsidR="006E7CB5" w:rsidRPr="004146A4" w:rsidRDefault="006E7CB5"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Hess, D. (2019). The transparency trap: Non‐financial disclosure and the responsibility of business to respect human rights. </w:t>
      </w:r>
      <w:r w:rsidRPr="004146A4">
        <w:rPr>
          <w:rFonts w:ascii="Times New Roman" w:hAnsi="Times New Roman" w:cs="Times New Roman"/>
          <w:i/>
          <w:iCs/>
          <w:sz w:val="20"/>
          <w:szCs w:val="20"/>
        </w:rPr>
        <w:t>American Business Law Journal</w:t>
      </w:r>
      <w:r w:rsidRPr="004146A4">
        <w:rPr>
          <w:rFonts w:ascii="Times New Roman" w:hAnsi="Times New Roman" w:cs="Times New Roman"/>
          <w:sz w:val="20"/>
          <w:szCs w:val="20"/>
        </w:rPr>
        <w:t>, 56(1), 5-53.</w:t>
      </w:r>
    </w:p>
    <w:p w14:paraId="713E8D1B" w14:textId="60A28BD4"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Ho, I. K., Dinh, K. T., Bellefontaine, S. A., &amp; Irving, A. L. (2012). Sexual harassment and post-traumatic stress disorder symptoms among Asian and White women. </w:t>
      </w:r>
      <w:r w:rsidRPr="004146A4">
        <w:rPr>
          <w:rFonts w:ascii="Times New Roman" w:hAnsi="Times New Roman" w:cs="Times New Roman"/>
          <w:i/>
          <w:iCs/>
          <w:sz w:val="20"/>
          <w:szCs w:val="20"/>
        </w:rPr>
        <w:t>Journal of Aggression, Maltreatment, and Trauma</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21</w:t>
      </w:r>
      <w:r w:rsidRPr="004146A4">
        <w:rPr>
          <w:rFonts w:ascii="Times New Roman" w:hAnsi="Times New Roman" w:cs="Times New Roman"/>
          <w:sz w:val="20"/>
          <w:szCs w:val="20"/>
        </w:rPr>
        <w:t xml:space="preserve">, 95–113. </w:t>
      </w:r>
    </w:p>
    <w:p w14:paraId="237C5013" w14:textId="56DB1BC1" w:rsidR="00633E4E" w:rsidRPr="004146A4" w:rsidRDefault="00633E4E"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Ho, V. H., &amp; Park, S. K. (2019). ESG Disclosure in Comparative Perspective: Optimizing Private Ordering in Public Reporting. </w:t>
      </w:r>
      <w:r w:rsidRPr="004146A4">
        <w:rPr>
          <w:rFonts w:ascii="Times New Roman" w:hAnsi="Times New Roman" w:cs="Times New Roman"/>
          <w:i/>
          <w:iCs/>
          <w:sz w:val="20"/>
          <w:szCs w:val="20"/>
        </w:rPr>
        <w:t>University of Pennsylvania Journal of International Law</w:t>
      </w:r>
      <w:r w:rsidRPr="004146A4">
        <w:rPr>
          <w:rFonts w:ascii="Times New Roman" w:hAnsi="Times New Roman" w:cs="Times New Roman"/>
          <w:sz w:val="20"/>
          <w:szCs w:val="20"/>
        </w:rPr>
        <w:t xml:space="preserve">, 41(2), 249- 328. </w:t>
      </w:r>
    </w:p>
    <w:p w14:paraId="57BFF751" w14:textId="4058EBB9" w:rsidR="00D94960" w:rsidRPr="004146A4" w:rsidRDefault="00D94960"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Hollon, S. D., &amp; Kriss, M. R. (1984). Cognitive factors in clinical research and practice. </w:t>
      </w:r>
      <w:r w:rsidRPr="004146A4">
        <w:rPr>
          <w:rFonts w:ascii="Times New Roman" w:hAnsi="Times New Roman" w:cs="Times New Roman"/>
          <w:i/>
          <w:iCs/>
          <w:sz w:val="20"/>
          <w:szCs w:val="20"/>
        </w:rPr>
        <w:t>Clinical Psychology Review</w:t>
      </w:r>
      <w:r w:rsidRPr="004146A4">
        <w:rPr>
          <w:rFonts w:ascii="Times New Roman" w:hAnsi="Times New Roman" w:cs="Times New Roman"/>
          <w:sz w:val="20"/>
          <w:szCs w:val="20"/>
        </w:rPr>
        <w:t>, </w:t>
      </w:r>
      <w:r w:rsidRPr="004146A4">
        <w:rPr>
          <w:rFonts w:ascii="Times New Roman" w:hAnsi="Times New Roman" w:cs="Times New Roman"/>
          <w:i/>
          <w:iCs/>
          <w:sz w:val="20"/>
          <w:szCs w:val="20"/>
        </w:rPr>
        <w:t>4</w:t>
      </w:r>
      <w:r w:rsidRPr="004146A4">
        <w:rPr>
          <w:rFonts w:ascii="Times New Roman" w:hAnsi="Times New Roman" w:cs="Times New Roman"/>
          <w:sz w:val="20"/>
          <w:szCs w:val="20"/>
        </w:rPr>
        <w:t>(1), 35-76.</w:t>
      </w:r>
    </w:p>
    <w:p w14:paraId="0133177F" w14:textId="51587D72" w:rsidR="007F4047" w:rsidRPr="004146A4" w:rsidRDefault="007F4047"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Holt, T. P. (2012). The effects of internal audit role and reporting relationships on investor perceptions of disclosure credibility. </w:t>
      </w:r>
      <w:r w:rsidRPr="004146A4">
        <w:rPr>
          <w:rFonts w:ascii="Times New Roman" w:hAnsi="Times New Roman" w:cs="Times New Roman"/>
          <w:i/>
          <w:iCs/>
          <w:sz w:val="20"/>
          <w:szCs w:val="20"/>
          <w:shd w:val="clear" w:color="auto" w:fill="FFFFFF"/>
        </w:rPr>
        <w:t>Managerial Auditing Journal</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27</w:t>
      </w:r>
      <w:r w:rsidRPr="004146A4">
        <w:rPr>
          <w:rFonts w:ascii="Times New Roman" w:hAnsi="Times New Roman" w:cs="Times New Roman"/>
          <w:sz w:val="20"/>
          <w:szCs w:val="20"/>
          <w:shd w:val="clear" w:color="auto" w:fill="FFFFFF"/>
        </w:rPr>
        <w:t>(9), 878-898.</w:t>
      </w:r>
    </w:p>
    <w:p w14:paraId="4B7AB723" w14:textId="0E209BBF" w:rsidR="00323B82" w:rsidRPr="004146A4" w:rsidRDefault="00323B82"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Ioannou, I., &amp; Serafeim, G. (2012). What drives corporate social performance? The role of nation-level institutions. </w:t>
      </w:r>
      <w:r w:rsidRPr="004146A4">
        <w:rPr>
          <w:rFonts w:ascii="Times New Roman" w:hAnsi="Times New Roman" w:cs="Times New Roman"/>
          <w:i/>
          <w:iCs/>
          <w:sz w:val="20"/>
          <w:szCs w:val="20"/>
          <w:shd w:val="clear" w:color="auto" w:fill="FFFFFF"/>
        </w:rPr>
        <w:t xml:space="preserve">Journal of </w:t>
      </w:r>
      <w:r w:rsidR="006812E4" w:rsidRPr="004146A4">
        <w:rPr>
          <w:rFonts w:ascii="Times New Roman" w:hAnsi="Times New Roman" w:cs="Times New Roman"/>
          <w:i/>
          <w:iCs/>
          <w:sz w:val="20"/>
          <w:szCs w:val="20"/>
          <w:shd w:val="clear" w:color="auto" w:fill="FFFFFF"/>
        </w:rPr>
        <w:t>International Business Studies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43</w:t>
      </w:r>
      <w:r w:rsidRPr="004146A4">
        <w:rPr>
          <w:rFonts w:ascii="Times New Roman" w:hAnsi="Times New Roman" w:cs="Times New Roman"/>
          <w:sz w:val="20"/>
          <w:szCs w:val="20"/>
          <w:shd w:val="clear" w:color="auto" w:fill="FFFFFF"/>
        </w:rPr>
        <w:t>, 834-864.</w:t>
      </w:r>
    </w:p>
    <w:p w14:paraId="0AA064B9" w14:textId="5942A2EC" w:rsidR="00861DDF" w:rsidRPr="004146A4" w:rsidRDefault="00861DDF"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International Labour Organization. (2019). Ending Violence and Harassment in the World of Work, ILC. 108/V/2A.</w:t>
      </w:r>
    </w:p>
    <w:p w14:paraId="24D33962" w14:textId="2EC4AFDA" w:rsidR="0038791A" w:rsidRPr="004146A4" w:rsidRDefault="0038791A"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International Labour Organization &amp; Lloyd‘s Register Foundation (2022). Experiences of violence and harassment at work: A global first survey. </w:t>
      </w:r>
    </w:p>
    <w:p w14:paraId="26FF81ED" w14:textId="4A9B17E2" w:rsidR="006330CD" w:rsidRPr="004146A4" w:rsidRDefault="006330CD" w:rsidP="00C4014A">
      <w:pPr>
        <w:spacing w:line="276" w:lineRule="auto"/>
        <w:ind w:firstLine="284"/>
        <w:jc w:val="both"/>
        <w:rPr>
          <w:rStyle w:val="Hyperlink"/>
          <w:rFonts w:ascii="Times New Roman" w:hAnsi="Times New Roman" w:cs="Times New Roman"/>
          <w:color w:val="auto"/>
          <w:sz w:val="20"/>
          <w:szCs w:val="20"/>
        </w:rPr>
      </w:pPr>
      <w:r w:rsidRPr="004146A4">
        <w:rPr>
          <w:rFonts w:ascii="Times New Roman" w:hAnsi="Times New Roman" w:cs="Times New Roman"/>
          <w:sz w:val="20"/>
          <w:szCs w:val="20"/>
        </w:rPr>
        <w:t xml:space="preserve">Kabat-Farr, D., &amp; Cortina, L. M. (2014). Sex-based harassment in employment: New insights into gender and context. </w:t>
      </w:r>
      <w:r w:rsidRPr="004146A4">
        <w:rPr>
          <w:rFonts w:ascii="Times New Roman" w:hAnsi="Times New Roman" w:cs="Times New Roman"/>
          <w:i/>
          <w:iCs/>
          <w:sz w:val="20"/>
          <w:szCs w:val="20"/>
        </w:rPr>
        <w:t>Law and Human Behavior</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38</w:t>
      </w:r>
      <w:r w:rsidRPr="004146A4">
        <w:rPr>
          <w:rFonts w:ascii="Times New Roman" w:hAnsi="Times New Roman" w:cs="Times New Roman"/>
          <w:sz w:val="20"/>
          <w:szCs w:val="20"/>
        </w:rPr>
        <w:t xml:space="preserve">(1), 58–72. </w:t>
      </w:r>
    </w:p>
    <w:p w14:paraId="56D56961" w14:textId="0A9EA9D4" w:rsidR="002B1B92" w:rsidRPr="004146A4" w:rsidRDefault="002B1B9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Knapp, D. E., Faley, R. H., Ekeberg, S. E., &amp; Dubois, C. L. (1997). Determinants of target responses to sexual harassment: A conceptual framework. </w:t>
      </w:r>
      <w:r w:rsidRPr="004146A4">
        <w:rPr>
          <w:rFonts w:ascii="Times New Roman" w:hAnsi="Times New Roman" w:cs="Times New Roman"/>
          <w:i/>
          <w:iCs/>
          <w:sz w:val="20"/>
          <w:szCs w:val="20"/>
          <w:shd w:val="clear" w:color="auto" w:fill="FFFFFF"/>
        </w:rPr>
        <w:t>Academy of Management Review</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22</w:t>
      </w:r>
      <w:r w:rsidRPr="004146A4">
        <w:rPr>
          <w:rFonts w:ascii="Times New Roman" w:hAnsi="Times New Roman" w:cs="Times New Roman"/>
          <w:sz w:val="20"/>
          <w:szCs w:val="20"/>
          <w:shd w:val="clear" w:color="auto" w:fill="FFFFFF"/>
        </w:rPr>
        <w:t>(3), 687-729.</w:t>
      </w:r>
    </w:p>
    <w:p w14:paraId="18C12712" w14:textId="6BECACC6" w:rsidR="00B81F0F" w:rsidRPr="004146A4" w:rsidRDefault="00B81F0F"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Kundro, T. G., Burke, V., Grandey., A. A., &amp; Sayre, G. 2020. A perfect storm: Customer sexual harassment as a joint function of financial dependence and emotional labor. </w:t>
      </w:r>
      <w:r w:rsidR="006812E4" w:rsidRPr="004146A4">
        <w:rPr>
          <w:rFonts w:ascii="Times New Roman" w:hAnsi="Times New Roman" w:cs="Times New Roman"/>
          <w:i/>
          <w:iCs/>
          <w:sz w:val="20"/>
          <w:szCs w:val="20"/>
        </w:rPr>
        <w:t>Journal of Applied Psychology, 107(8),</w:t>
      </w:r>
      <w:r w:rsidR="006812E4" w:rsidRPr="004146A4">
        <w:rPr>
          <w:rFonts w:ascii="Times New Roman" w:hAnsi="Times New Roman" w:cs="Times New Roman"/>
          <w:sz w:val="20"/>
          <w:szCs w:val="20"/>
        </w:rPr>
        <w:t xml:space="preserve"> 1385.</w:t>
      </w:r>
    </w:p>
    <w:p w14:paraId="564D2976" w14:textId="77777777" w:rsidR="0038791A" w:rsidRPr="004146A4" w:rsidRDefault="0038791A"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Lee, S. Y., Hanson, M. D., &amp; Cheung, H. K. (2019). Incorporating bystander intervention into sexual harassment training. </w:t>
      </w:r>
      <w:r w:rsidRPr="004146A4">
        <w:rPr>
          <w:rFonts w:ascii="Times New Roman" w:hAnsi="Times New Roman" w:cs="Times New Roman"/>
          <w:i/>
          <w:iCs/>
          <w:sz w:val="20"/>
          <w:szCs w:val="20"/>
        </w:rPr>
        <w:t>Industrial and Organizational Psychology</w:t>
      </w:r>
      <w:r w:rsidRPr="004146A4">
        <w:rPr>
          <w:rFonts w:ascii="Times New Roman" w:hAnsi="Times New Roman" w:cs="Times New Roman"/>
          <w:sz w:val="20"/>
          <w:szCs w:val="20"/>
        </w:rPr>
        <w:t>, </w:t>
      </w:r>
      <w:r w:rsidRPr="004146A4">
        <w:rPr>
          <w:rFonts w:ascii="Times New Roman" w:hAnsi="Times New Roman" w:cs="Times New Roman"/>
          <w:i/>
          <w:iCs/>
          <w:sz w:val="20"/>
          <w:szCs w:val="20"/>
        </w:rPr>
        <w:t>12</w:t>
      </w:r>
      <w:r w:rsidRPr="004146A4">
        <w:rPr>
          <w:rFonts w:ascii="Times New Roman" w:hAnsi="Times New Roman" w:cs="Times New Roman"/>
          <w:sz w:val="20"/>
          <w:szCs w:val="20"/>
        </w:rPr>
        <w:t>(1), 52-57.</w:t>
      </w:r>
    </w:p>
    <w:p w14:paraId="2AF90415" w14:textId="1AFAB153" w:rsidR="002B1B92" w:rsidRPr="004146A4" w:rsidRDefault="002B1B9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Lee, J. Y., Heilmann, S. G., &amp; Near, J. P. (2004). Blowing the whistle on sexual harassment: Test of a model of predictors and outcomes. </w:t>
      </w:r>
      <w:r w:rsidRPr="004146A4">
        <w:rPr>
          <w:rFonts w:ascii="Times New Roman" w:hAnsi="Times New Roman" w:cs="Times New Roman"/>
          <w:i/>
          <w:iCs/>
          <w:sz w:val="20"/>
          <w:szCs w:val="20"/>
          <w:shd w:val="clear" w:color="auto" w:fill="FFFFFF"/>
        </w:rPr>
        <w:t xml:space="preserve">Human </w:t>
      </w:r>
      <w:r w:rsidR="006812E4" w:rsidRPr="004146A4">
        <w:rPr>
          <w:rFonts w:ascii="Times New Roman" w:hAnsi="Times New Roman" w:cs="Times New Roman"/>
          <w:i/>
          <w:iCs/>
          <w:sz w:val="20"/>
          <w:szCs w:val="20"/>
          <w:shd w:val="clear" w:color="auto" w:fill="FFFFFF"/>
        </w:rPr>
        <w:t>Relations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57</w:t>
      </w:r>
      <w:r w:rsidRPr="004146A4">
        <w:rPr>
          <w:rFonts w:ascii="Times New Roman" w:hAnsi="Times New Roman" w:cs="Times New Roman"/>
          <w:sz w:val="20"/>
          <w:szCs w:val="20"/>
          <w:shd w:val="clear" w:color="auto" w:fill="FFFFFF"/>
        </w:rPr>
        <w:t>(3), 297-322.</w:t>
      </w:r>
    </w:p>
    <w:p w14:paraId="1246758A" w14:textId="3AF02333" w:rsidR="004173D4" w:rsidRPr="004146A4" w:rsidRDefault="004173D4"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Leskinen, E. A., Cortina, L. M., &amp; Kabat, D. B. (2011). Gender harassment: Broadening our understanding of sex-based harassment at work. </w:t>
      </w:r>
      <w:r w:rsidRPr="004146A4">
        <w:rPr>
          <w:rFonts w:ascii="Times New Roman" w:hAnsi="Times New Roman" w:cs="Times New Roman"/>
          <w:i/>
          <w:iCs/>
          <w:sz w:val="20"/>
          <w:szCs w:val="20"/>
        </w:rPr>
        <w:t>Law and Human Behavior</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35</w:t>
      </w:r>
      <w:r w:rsidRPr="004146A4">
        <w:rPr>
          <w:rFonts w:ascii="Times New Roman" w:hAnsi="Times New Roman" w:cs="Times New Roman"/>
          <w:sz w:val="20"/>
          <w:szCs w:val="20"/>
        </w:rPr>
        <w:t xml:space="preserve">(1), 25–39. </w:t>
      </w:r>
    </w:p>
    <w:p w14:paraId="6BC78283" w14:textId="29833D29" w:rsidR="00E63724" w:rsidRPr="004146A4" w:rsidRDefault="00E63724"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Lim, S., &amp; Cortina, L. M. (2005). Interpersonal Mistreatment in the Workplace: The Interface and Impact of General Incivility and Sexual Harassment. </w:t>
      </w:r>
      <w:r w:rsidRPr="004146A4">
        <w:rPr>
          <w:rFonts w:ascii="Times New Roman" w:hAnsi="Times New Roman" w:cs="Times New Roman"/>
          <w:i/>
          <w:iCs/>
          <w:sz w:val="20"/>
          <w:szCs w:val="20"/>
        </w:rPr>
        <w:t>Journal of Applied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90</w:t>
      </w:r>
      <w:r w:rsidRPr="004146A4">
        <w:rPr>
          <w:rFonts w:ascii="Times New Roman" w:hAnsi="Times New Roman" w:cs="Times New Roman"/>
          <w:sz w:val="20"/>
          <w:szCs w:val="20"/>
        </w:rPr>
        <w:t xml:space="preserve">(3), 483–496. </w:t>
      </w:r>
    </w:p>
    <w:p w14:paraId="2A88CF09" w14:textId="2ACE1B5F"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lastRenderedPageBreak/>
        <w:t xml:space="preserve">Lonsway, K. A., Paynich, R., &amp; Hall, J. N. (2013). Sexual harassment in law enforcement: Incidence, impact, and perception. </w:t>
      </w:r>
      <w:r w:rsidRPr="004146A4">
        <w:rPr>
          <w:rFonts w:ascii="Times New Roman" w:hAnsi="Times New Roman" w:cs="Times New Roman"/>
          <w:i/>
          <w:iCs/>
          <w:sz w:val="20"/>
          <w:szCs w:val="20"/>
        </w:rPr>
        <w:t>Police Quarterly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16</w:t>
      </w:r>
      <w:r w:rsidRPr="004146A4">
        <w:rPr>
          <w:rFonts w:ascii="Times New Roman" w:hAnsi="Times New Roman" w:cs="Times New Roman"/>
          <w:sz w:val="20"/>
          <w:szCs w:val="20"/>
        </w:rPr>
        <w:t xml:space="preserve">, 177–210. </w:t>
      </w:r>
    </w:p>
    <w:p w14:paraId="73C16E08" w14:textId="536B27A2" w:rsidR="00C54076" w:rsidRDefault="00C54076"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Luque-Vilchez, M., &amp; Larrinaga, C. (2016). Reporting models do not translate well: Failing to regulate CSR reporting in Spain. </w:t>
      </w:r>
      <w:r w:rsidRPr="004146A4">
        <w:rPr>
          <w:rFonts w:ascii="Times New Roman" w:hAnsi="Times New Roman" w:cs="Times New Roman"/>
          <w:i/>
          <w:iCs/>
          <w:sz w:val="20"/>
          <w:szCs w:val="20"/>
          <w:shd w:val="clear" w:color="auto" w:fill="FFFFFF"/>
        </w:rPr>
        <w:t>Social and Environmental Accountability Journal</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36</w:t>
      </w:r>
      <w:r w:rsidRPr="004146A4">
        <w:rPr>
          <w:rFonts w:ascii="Times New Roman" w:hAnsi="Times New Roman" w:cs="Times New Roman"/>
          <w:sz w:val="20"/>
          <w:szCs w:val="20"/>
          <w:shd w:val="clear" w:color="auto" w:fill="FFFFFF"/>
        </w:rPr>
        <w:t>(1), 56-75.</w:t>
      </w:r>
    </w:p>
    <w:p w14:paraId="376AEC44" w14:textId="7E703C7F" w:rsidR="0041236F" w:rsidRPr="0041236F" w:rsidRDefault="0041236F" w:rsidP="00C4014A">
      <w:pPr>
        <w:spacing w:line="276" w:lineRule="auto"/>
        <w:ind w:firstLine="284"/>
        <w:jc w:val="both"/>
        <w:rPr>
          <w:rFonts w:ascii="Times New Roman" w:hAnsi="Times New Roman" w:cs="Times New Roman"/>
          <w:sz w:val="20"/>
          <w:szCs w:val="20"/>
          <w:shd w:val="clear" w:color="auto" w:fill="FFFFFF"/>
        </w:rPr>
      </w:pPr>
      <w:r w:rsidRPr="0041236F">
        <w:rPr>
          <w:rFonts w:ascii="Times New Roman" w:hAnsi="Times New Roman" w:cs="Times New Roman"/>
          <w:sz w:val="20"/>
          <w:szCs w:val="20"/>
          <w:shd w:val="clear" w:color="auto" w:fill="FFFFFF"/>
        </w:rPr>
        <w:t>MacKinnon, C. A. (1979). Sexual harassment of working women: A case of sex discrimination (Vol. 19). Yale University Press.</w:t>
      </w:r>
    </w:p>
    <w:p w14:paraId="4922E727" w14:textId="6EFE794E"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Maass, A., Cadinu, M., Guarnieri, G., &amp; Grasselli, A. 2003. Sexual harassment under social identity threat: The computer harassment paradigm. </w:t>
      </w:r>
      <w:r w:rsidRPr="004146A4">
        <w:rPr>
          <w:rFonts w:ascii="Times New Roman" w:hAnsi="Times New Roman" w:cs="Times New Roman"/>
          <w:i/>
          <w:iCs/>
          <w:sz w:val="20"/>
          <w:szCs w:val="20"/>
        </w:rPr>
        <w:t>Journal of Personality and Social Psychology</w:t>
      </w:r>
      <w:r w:rsidRPr="004146A4">
        <w:rPr>
          <w:rFonts w:ascii="Times New Roman" w:hAnsi="Times New Roman" w:cs="Times New Roman"/>
          <w:sz w:val="20"/>
          <w:szCs w:val="20"/>
        </w:rPr>
        <w:t>, 85: 853-870.</w:t>
      </w:r>
    </w:p>
    <w:p w14:paraId="1B19FAE8" w14:textId="0704227F" w:rsidR="00CC5DC9" w:rsidRPr="004146A4" w:rsidRDefault="00CC5DC9"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Magley, V. J. (1999). The structure and function of coping with sexual harassment. University of Illinois at Urbana-Champaign.</w:t>
      </w:r>
    </w:p>
    <w:p w14:paraId="58B1F7E2" w14:textId="3BD5FB64"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Magley, V. J., Cortina, L. M., &amp; Kath, L. (2005). Stress, withdrawal, and gender in the context of sexual harassment: A longitudinal analysis. Paper presented at the 113th Annual Convention of the American Psychological Association, Washington, DC.</w:t>
      </w:r>
    </w:p>
    <w:p w14:paraId="1E56A0C8" w14:textId="4DB082FE" w:rsidR="00BA5950" w:rsidRPr="004146A4" w:rsidRDefault="00BA5950" w:rsidP="00C4014A">
      <w:pPr>
        <w:spacing w:line="276" w:lineRule="auto"/>
        <w:ind w:firstLine="284"/>
        <w:jc w:val="both"/>
        <w:rPr>
          <w:rFonts w:ascii="Times New Roman" w:hAnsi="Times New Roman" w:cs="Times New Roman"/>
          <w:sz w:val="20"/>
          <w:szCs w:val="20"/>
        </w:rPr>
      </w:pPr>
      <w:r w:rsidRPr="004146A4">
        <w:rPr>
          <w:rStyle w:val="referencesurname"/>
          <w:rFonts w:ascii="Times New Roman" w:hAnsi="Times New Roman" w:cs="Times New Roman"/>
          <w:sz w:val="20"/>
          <w:szCs w:val="20"/>
          <w:shd w:val="clear" w:color="auto" w:fill="FFFFFF"/>
        </w:rPr>
        <w:t>Maltby</w:t>
      </w:r>
      <w:r w:rsidRPr="004146A4">
        <w:rPr>
          <w:rStyle w:val="referencestring-name"/>
          <w:rFonts w:ascii="Times New Roman" w:hAnsi="Times New Roman" w:cs="Times New Roman"/>
          <w:sz w:val="20"/>
          <w:szCs w:val="20"/>
          <w:shd w:val="clear" w:color="auto" w:fill="FFFFFF"/>
        </w:rPr>
        <w:t>, </w:t>
      </w:r>
      <w:r w:rsidRPr="004146A4">
        <w:rPr>
          <w:rStyle w:val="referencegiven-names"/>
          <w:rFonts w:ascii="Times New Roman" w:hAnsi="Times New Roman" w:cs="Times New Roman"/>
          <w:sz w:val="20"/>
          <w:szCs w:val="20"/>
          <w:shd w:val="clear" w:color="auto" w:fill="FFFFFF"/>
        </w:rPr>
        <w:t>J.</w:t>
      </w:r>
      <w:r w:rsidRPr="004146A4">
        <w:rPr>
          <w:rFonts w:ascii="Times New Roman" w:hAnsi="Times New Roman" w:cs="Times New Roman"/>
          <w:sz w:val="20"/>
          <w:szCs w:val="20"/>
          <w:shd w:val="clear" w:color="auto" w:fill="FFFFFF"/>
        </w:rPr>
        <w:t> (</w:t>
      </w:r>
      <w:r w:rsidRPr="004146A4">
        <w:rPr>
          <w:rStyle w:val="referenceyear"/>
          <w:rFonts w:ascii="Times New Roman" w:hAnsi="Times New Roman" w:cs="Times New Roman"/>
          <w:sz w:val="20"/>
          <w:szCs w:val="20"/>
          <w:shd w:val="clear" w:color="auto" w:fill="FFFFFF"/>
        </w:rPr>
        <w:t>1997</w:t>
      </w:r>
      <w:r w:rsidRPr="004146A4">
        <w:rPr>
          <w:rFonts w:ascii="Times New Roman" w:hAnsi="Times New Roman" w:cs="Times New Roman"/>
          <w:sz w:val="20"/>
          <w:szCs w:val="20"/>
          <w:shd w:val="clear" w:color="auto" w:fill="FFFFFF"/>
        </w:rPr>
        <w:t>), “</w:t>
      </w:r>
      <w:r w:rsidRPr="004146A4">
        <w:rPr>
          <w:rStyle w:val="referencearticle-title"/>
          <w:rFonts w:ascii="Times New Roman" w:hAnsi="Times New Roman" w:cs="Times New Roman"/>
          <w:sz w:val="20"/>
          <w:szCs w:val="20"/>
          <w:shd w:val="clear" w:color="auto" w:fill="FFFFFF"/>
        </w:rPr>
        <w:t>Setting its own standards and meeting those standards: voluntarism versus regulation in environmental reporting</w:t>
      </w:r>
      <w:r w:rsidRPr="004146A4">
        <w:rPr>
          <w:rFonts w:ascii="Times New Roman" w:hAnsi="Times New Roman" w:cs="Times New Roman"/>
          <w:sz w:val="20"/>
          <w:szCs w:val="20"/>
          <w:shd w:val="clear" w:color="auto" w:fill="FFFFFF"/>
        </w:rPr>
        <w:t>”, </w:t>
      </w:r>
      <w:r w:rsidRPr="004146A4">
        <w:rPr>
          <w:rStyle w:val="referencesource"/>
          <w:rFonts w:ascii="Times New Roman" w:hAnsi="Times New Roman" w:cs="Times New Roman"/>
          <w:i/>
          <w:iCs/>
          <w:sz w:val="20"/>
          <w:szCs w:val="20"/>
          <w:shd w:val="clear" w:color="auto" w:fill="FFFFFF"/>
        </w:rPr>
        <w:t>Business Strategy and the Environment</w:t>
      </w:r>
      <w:r w:rsidRPr="004146A4">
        <w:rPr>
          <w:rFonts w:ascii="Times New Roman" w:hAnsi="Times New Roman" w:cs="Times New Roman"/>
          <w:sz w:val="20"/>
          <w:szCs w:val="20"/>
          <w:shd w:val="clear" w:color="auto" w:fill="FFFFFF"/>
        </w:rPr>
        <w:t>, Vol. </w:t>
      </w:r>
      <w:r w:rsidRPr="004146A4">
        <w:rPr>
          <w:rStyle w:val="referencevolume"/>
          <w:rFonts w:ascii="Times New Roman" w:hAnsi="Times New Roman" w:cs="Times New Roman"/>
          <w:sz w:val="20"/>
          <w:szCs w:val="20"/>
          <w:shd w:val="clear" w:color="auto" w:fill="FFFFFF"/>
        </w:rPr>
        <w:t>6</w:t>
      </w:r>
      <w:r w:rsidRPr="004146A4">
        <w:rPr>
          <w:rFonts w:ascii="Times New Roman" w:hAnsi="Times New Roman" w:cs="Times New Roman"/>
          <w:sz w:val="20"/>
          <w:szCs w:val="20"/>
          <w:shd w:val="clear" w:color="auto" w:fill="FFFFFF"/>
        </w:rPr>
        <w:t> No. </w:t>
      </w:r>
      <w:r w:rsidRPr="004146A4">
        <w:rPr>
          <w:rStyle w:val="referenceissue"/>
          <w:rFonts w:ascii="Times New Roman" w:hAnsi="Times New Roman" w:cs="Times New Roman"/>
          <w:sz w:val="20"/>
          <w:szCs w:val="20"/>
          <w:shd w:val="clear" w:color="auto" w:fill="FFFFFF"/>
        </w:rPr>
        <w:t>2</w:t>
      </w:r>
      <w:r w:rsidRPr="004146A4">
        <w:rPr>
          <w:rFonts w:ascii="Times New Roman" w:hAnsi="Times New Roman" w:cs="Times New Roman"/>
          <w:sz w:val="20"/>
          <w:szCs w:val="20"/>
          <w:shd w:val="clear" w:color="auto" w:fill="FFFFFF"/>
        </w:rPr>
        <w:t>, pp. </w:t>
      </w:r>
      <w:r w:rsidRPr="004146A4">
        <w:rPr>
          <w:rStyle w:val="referencefpage"/>
          <w:rFonts w:ascii="Times New Roman" w:hAnsi="Times New Roman" w:cs="Times New Roman"/>
          <w:sz w:val="20"/>
          <w:szCs w:val="20"/>
          <w:shd w:val="clear" w:color="auto" w:fill="FFFFFF"/>
        </w:rPr>
        <w:t>83</w:t>
      </w:r>
      <w:r w:rsidRPr="004146A4">
        <w:rPr>
          <w:rFonts w:ascii="Times New Roman" w:hAnsi="Times New Roman" w:cs="Times New Roman"/>
          <w:sz w:val="20"/>
          <w:szCs w:val="20"/>
          <w:shd w:val="clear" w:color="auto" w:fill="FFFFFF"/>
        </w:rPr>
        <w:t>-</w:t>
      </w:r>
      <w:r w:rsidRPr="004146A4">
        <w:rPr>
          <w:rStyle w:val="referencelpage"/>
          <w:rFonts w:ascii="Times New Roman" w:hAnsi="Times New Roman" w:cs="Times New Roman"/>
          <w:sz w:val="20"/>
          <w:szCs w:val="20"/>
          <w:shd w:val="clear" w:color="auto" w:fill="FFFFFF"/>
        </w:rPr>
        <w:t>92</w:t>
      </w:r>
      <w:r w:rsidRPr="004146A4">
        <w:rPr>
          <w:rFonts w:ascii="Times New Roman" w:hAnsi="Times New Roman" w:cs="Times New Roman"/>
          <w:sz w:val="20"/>
          <w:szCs w:val="20"/>
          <w:shd w:val="clear" w:color="auto" w:fill="FFFFFF"/>
        </w:rPr>
        <w:t>.</w:t>
      </w:r>
    </w:p>
    <w:p w14:paraId="71B00434" w14:textId="503C3AC2" w:rsidR="00633E4E" w:rsidRPr="004146A4" w:rsidRDefault="00633E4E"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Mervelskemper, L., &amp; Streit, D. (2017). Enhancing market valuation of ESG performance: is integrated reporting keeping its promise?. </w:t>
      </w:r>
      <w:r w:rsidRPr="004146A4">
        <w:rPr>
          <w:rFonts w:ascii="Times New Roman" w:hAnsi="Times New Roman" w:cs="Times New Roman"/>
          <w:i/>
          <w:iCs/>
          <w:sz w:val="20"/>
          <w:szCs w:val="20"/>
          <w:shd w:val="clear" w:color="auto" w:fill="FFFFFF"/>
        </w:rPr>
        <w:t>Business Strategy and the Environment</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26</w:t>
      </w:r>
      <w:r w:rsidRPr="004146A4">
        <w:rPr>
          <w:rFonts w:ascii="Times New Roman" w:hAnsi="Times New Roman" w:cs="Times New Roman"/>
          <w:sz w:val="20"/>
          <w:szCs w:val="20"/>
          <w:shd w:val="clear" w:color="auto" w:fill="FFFFFF"/>
        </w:rPr>
        <w:t>(4), 536-549.</w:t>
      </w:r>
    </w:p>
    <w:p w14:paraId="2F3081DA" w14:textId="7A3FF155" w:rsidR="00521766" w:rsidRPr="004146A4" w:rsidRDefault="00521766"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McDonald, P. (2012). Workplace sexual harassment 30 years on: A review of the literature. </w:t>
      </w:r>
      <w:r w:rsidRPr="004146A4">
        <w:rPr>
          <w:rFonts w:ascii="Times New Roman" w:hAnsi="Times New Roman" w:cs="Times New Roman"/>
          <w:i/>
          <w:iCs/>
          <w:sz w:val="20"/>
          <w:szCs w:val="20"/>
          <w:shd w:val="clear" w:color="auto" w:fill="FFFFFF"/>
        </w:rPr>
        <w:t>International Journal of Management Reviews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14</w:t>
      </w:r>
      <w:r w:rsidRPr="004146A4">
        <w:rPr>
          <w:rFonts w:ascii="Times New Roman" w:hAnsi="Times New Roman" w:cs="Times New Roman"/>
          <w:sz w:val="20"/>
          <w:szCs w:val="20"/>
          <w:shd w:val="clear" w:color="auto" w:fill="FFFFFF"/>
        </w:rPr>
        <w:t>(1), 1-17.</w:t>
      </w:r>
    </w:p>
    <w:p w14:paraId="693C6AEF" w14:textId="30A1185D" w:rsidR="0038791A" w:rsidRPr="004146A4" w:rsidRDefault="0038791A"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McDonald, P., Charlesworth, S., &amp; Graham, T. (2015). Developing a framework of effective prevention and response strategies in workplace sexual harassment. </w:t>
      </w:r>
      <w:r w:rsidRPr="004146A4">
        <w:rPr>
          <w:rFonts w:ascii="Times New Roman" w:hAnsi="Times New Roman" w:cs="Times New Roman"/>
          <w:i/>
          <w:iCs/>
          <w:sz w:val="20"/>
          <w:szCs w:val="20"/>
        </w:rPr>
        <w:t>Asia Pacific Journal of Human Resources</w:t>
      </w:r>
      <w:r w:rsidRPr="004146A4">
        <w:rPr>
          <w:rFonts w:ascii="Times New Roman" w:hAnsi="Times New Roman" w:cs="Times New Roman"/>
          <w:sz w:val="20"/>
          <w:szCs w:val="20"/>
        </w:rPr>
        <w:t>, </w:t>
      </w:r>
      <w:r w:rsidRPr="004146A4">
        <w:rPr>
          <w:rFonts w:ascii="Times New Roman" w:hAnsi="Times New Roman" w:cs="Times New Roman"/>
          <w:i/>
          <w:iCs/>
          <w:sz w:val="20"/>
          <w:szCs w:val="20"/>
        </w:rPr>
        <w:t>53</w:t>
      </w:r>
      <w:r w:rsidRPr="004146A4">
        <w:rPr>
          <w:rFonts w:ascii="Times New Roman" w:hAnsi="Times New Roman" w:cs="Times New Roman"/>
          <w:sz w:val="20"/>
          <w:szCs w:val="20"/>
        </w:rPr>
        <w:t>(1), 41-58.</w:t>
      </w:r>
    </w:p>
    <w:p w14:paraId="4DDF2F36" w14:textId="77777777" w:rsidR="0038791A" w:rsidRPr="004146A4" w:rsidRDefault="0038791A"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McDonald, P., Charlesworth, S., &amp; Graham, T. (2016). Action or inaction: Bystander intervention in workplace sexual harassment. </w:t>
      </w:r>
      <w:r w:rsidRPr="004146A4">
        <w:rPr>
          <w:rFonts w:ascii="Times New Roman" w:hAnsi="Times New Roman" w:cs="Times New Roman"/>
          <w:i/>
          <w:iCs/>
          <w:sz w:val="20"/>
          <w:szCs w:val="20"/>
        </w:rPr>
        <w:t>The International Journal of Human Resource Management</w:t>
      </w:r>
      <w:r w:rsidRPr="004146A4">
        <w:rPr>
          <w:rFonts w:ascii="Times New Roman" w:hAnsi="Times New Roman" w:cs="Times New Roman"/>
          <w:sz w:val="20"/>
          <w:szCs w:val="20"/>
        </w:rPr>
        <w:t>, </w:t>
      </w:r>
      <w:r w:rsidRPr="004146A4">
        <w:rPr>
          <w:rFonts w:ascii="Times New Roman" w:hAnsi="Times New Roman" w:cs="Times New Roman"/>
          <w:i/>
          <w:iCs/>
          <w:sz w:val="20"/>
          <w:szCs w:val="20"/>
        </w:rPr>
        <w:t>27</w:t>
      </w:r>
      <w:r w:rsidRPr="004146A4">
        <w:rPr>
          <w:rFonts w:ascii="Times New Roman" w:hAnsi="Times New Roman" w:cs="Times New Roman"/>
          <w:sz w:val="20"/>
          <w:szCs w:val="20"/>
        </w:rPr>
        <w:t>(5), 548-566.</w:t>
      </w:r>
    </w:p>
    <w:p w14:paraId="66A8147E" w14:textId="59270335" w:rsidR="008206F3"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Miner-Rubino, K., &amp; Cortina, L. M. (2007). Beyond targets: Consequences of vicarious exposure to misogyny at work. </w:t>
      </w:r>
      <w:r w:rsidRPr="004146A4">
        <w:rPr>
          <w:rFonts w:ascii="Times New Roman" w:hAnsi="Times New Roman" w:cs="Times New Roman"/>
          <w:i/>
          <w:iCs/>
          <w:sz w:val="20"/>
          <w:szCs w:val="20"/>
        </w:rPr>
        <w:t>Journal of Applied Psychology</w:t>
      </w:r>
      <w:r w:rsidRPr="004146A4">
        <w:rPr>
          <w:rFonts w:ascii="Times New Roman" w:hAnsi="Times New Roman" w:cs="Times New Roman"/>
          <w:sz w:val="20"/>
          <w:szCs w:val="20"/>
        </w:rPr>
        <w:t>, 92(5), 1254.</w:t>
      </w:r>
    </w:p>
    <w:p w14:paraId="1E82F1DC" w14:textId="60905885" w:rsidR="00884939" w:rsidRPr="004146A4" w:rsidRDefault="00884939" w:rsidP="00C4014A">
      <w:pPr>
        <w:spacing w:line="276" w:lineRule="auto"/>
        <w:ind w:firstLine="284"/>
        <w:jc w:val="both"/>
        <w:rPr>
          <w:rFonts w:ascii="Times New Roman" w:hAnsi="Times New Roman" w:cs="Times New Roman"/>
          <w:sz w:val="20"/>
          <w:szCs w:val="20"/>
        </w:rPr>
      </w:pPr>
      <w:r w:rsidRPr="00884939">
        <w:rPr>
          <w:rFonts w:ascii="Times New Roman" w:hAnsi="Times New Roman" w:cs="Times New Roman"/>
          <w:sz w:val="20"/>
          <w:szCs w:val="20"/>
        </w:rPr>
        <w:t>Nielsen, S., &amp; Huse, M. (2010). Women directors' contribution to board decision‐making and strategic involvement: The role of equality perception. European Management Review, 7(1), 16-29.</w:t>
      </w:r>
    </w:p>
    <w:p w14:paraId="4930A50B" w14:textId="74BD8DC9" w:rsidR="00323B82" w:rsidRPr="004146A4" w:rsidRDefault="00323B8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Overland, J. (2007). Corporate Social Responsibility in context: The case for compulsory sustainability disclosure for listed public companies in Australia. </w:t>
      </w:r>
      <w:r w:rsidRPr="004146A4">
        <w:rPr>
          <w:rFonts w:ascii="Times New Roman" w:hAnsi="Times New Roman" w:cs="Times New Roman"/>
          <w:i/>
          <w:iCs/>
          <w:sz w:val="20"/>
          <w:szCs w:val="20"/>
        </w:rPr>
        <w:t>Macquarie Journal of International and Comparative Environmental Law,</w:t>
      </w:r>
      <w:r w:rsidRPr="004146A4">
        <w:rPr>
          <w:rFonts w:ascii="Times New Roman" w:hAnsi="Times New Roman" w:cs="Times New Roman"/>
          <w:sz w:val="20"/>
          <w:szCs w:val="20"/>
        </w:rPr>
        <w:t> </w:t>
      </w:r>
      <w:r w:rsidRPr="004146A4">
        <w:rPr>
          <w:rFonts w:ascii="Times New Roman" w:hAnsi="Times New Roman" w:cs="Times New Roman"/>
          <w:i/>
          <w:iCs/>
          <w:sz w:val="20"/>
          <w:szCs w:val="20"/>
        </w:rPr>
        <w:t>4</w:t>
      </w:r>
      <w:r w:rsidRPr="004146A4">
        <w:rPr>
          <w:rFonts w:ascii="Times New Roman" w:hAnsi="Times New Roman" w:cs="Times New Roman"/>
          <w:sz w:val="20"/>
          <w:szCs w:val="20"/>
        </w:rPr>
        <w:t>(2), 1–22.</w:t>
      </w:r>
    </w:p>
    <w:p w14:paraId="7440700E" w14:textId="6991CD7D" w:rsidR="00A52D52" w:rsidRPr="004146A4" w:rsidRDefault="00A52D5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O'Hare, E. A., &amp; O'Donohue, W. (1998). Sexual harassment: Identifying risk factors. </w:t>
      </w:r>
      <w:r w:rsidRPr="004146A4">
        <w:rPr>
          <w:rFonts w:ascii="Times New Roman" w:hAnsi="Times New Roman" w:cs="Times New Roman"/>
          <w:i/>
          <w:iCs/>
          <w:sz w:val="20"/>
          <w:szCs w:val="20"/>
          <w:shd w:val="clear" w:color="auto" w:fill="FFFFFF"/>
        </w:rPr>
        <w:t xml:space="preserve">Archives of </w:t>
      </w:r>
      <w:r w:rsidR="006812E4" w:rsidRPr="004146A4">
        <w:rPr>
          <w:rFonts w:ascii="Times New Roman" w:hAnsi="Times New Roman" w:cs="Times New Roman"/>
          <w:i/>
          <w:iCs/>
          <w:sz w:val="20"/>
          <w:szCs w:val="20"/>
          <w:shd w:val="clear" w:color="auto" w:fill="FFFFFF"/>
        </w:rPr>
        <w:t>S</w:t>
      </w:r>
      <w:r w:rsidRPr="004146A4">
        <w:rPr>
          <w:rFonts w:ascii="Times New Roman" w:hAnsi="Times New Roman" w:cs="Times New Roman"/>
          <w:i/>
          <w:iCs/>
          <w:sz w:val="20"/>
          <w:szCs w:val="20"/>
          <w:shd w:val="clear" w:color="auto" w:fill="FFFFFF"/>
        </w:rPr>
        <w:t xml:space="preserve">exual </w:t>
      </w:r>
      <w:r w:rsidR="006812E4" w:rsidRPr="004146A4">
        <w:rPr>
          <w:rFonts w:ascii="Times New Roman" w:hAnsi="Times New Roman" w:cs="Times New Roman"/>
          <w:i/>
          <w:iCs/>
          <w:sz w:val="20"/>
          <w:szCs w:val="20"/>
          <w:shd w:val="clear" w:color="auto" w:fill="FFFFFF"/>
        </w:rPr>
        <w:t>B</w:t>
      </w:r>
      <w:r w:rsidRPr="004146A4">
        <w:rPr>
          <w:rFonts w:ascii="Times New Roman" w:hAnsi="Times New Roman" w:cs="Times New Roman"/>
          <w:i/>
          <w:iCs/>
          <w:sz w:val="20"/>
          <w:szCs w:val="20"/>
          <w:shd w:val="clear" w:color="auto" w:fill="FFFFFF"/>
        </w:rPr>
        <w:t>ehavior</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27</w:t>
      </w:r>
      <w:r w:rsidRPr="004146A4">
        <w:rPr>
          <w:rFonts w:ascii="Times New Roman" w:hAnsi="Times New Roman" w:cs="Times New Roman"/>
          <w:sz w:val="20"/>
          <w:szCs w:val="20"/>
          <w:shd w:val="clear" w:color="auto" w:fill="FFFFFF"/>
        </w:rPr>
        <w:t>, 561-580.</w:t>
      </w:r>
    </w:p>
    <w:p w14:paraId="2E631B17" w14:textId="762DE8FE" w:rsidR="006330CD" w:rsidRPr="004146A4" w:rsidRDefault="006330CD"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O’Leary-Kelly, A. M., Bowes-Sperry, L., Bates, C. A., &amp; Lean, E. R. 2009. Sexual harassment at work: A decade (plus) of progress. </w:t>
      </w:r>
      <w:r w:rsidRPr="004146A4">
        <w:rPr>
          <w:rFonts w:ascii="Times New Roman" w:hAnsi="Times New Roman" w:cs="Times New Roman"/>
          <w:i/>
          <w:iCs/>
          <w:sz w:val="20"/>
          <w:szCs w:val="20"/>
        </w:rPr>
        <w:t>Journal of Management</w:t>
      </w:r>
      <w:r w:rsidRPr="004146A4">
        <w:rPr>
          <w:rFonts w:ascii="Times New Roman" w:hAnsi="Times New Roman" w:cs="Times New Roman"/>
          <w:sz w:val="20"/>
          <w:szCs w:val="20"/>
        </w:rPr>
        <w:t>, 35: 503-536.</w:t>
      </w:r>
    </w:p>
    <w:p w14:paraId="3C7E4A84" w14:textId="34F6E257" w:rsidR="002B1B92" w:rsidRPr="004146A4" w:rsidRDefault="002B1B9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Parker, C. (1999). Public rights in private government: corporate compliance with sexual harassment legislation. </w:t>
      </w:r>
      <w:r w:rsidRPr="004146A4">
        <w:rPr>
          <w:rFonts w:ascii="Times New Roman" w:hAnsi="Times New Roman" w:cs="Times New Roman"/>
          <w:i/>
          <w:iCs/>
          <w:sz w:val="20"/>
          <w:szCs w:val="20"/>
          <w:shd w:val="clear" w:color="auto" w:fill="FFFFFF"/>
        </w:rPr>
        <w:t>Australian Journal of Human Rights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5</w:t>
      </w:r>
      <w:r w:rsidRPr="004146A4">
        <w:rPr>
          <w:rFonts w:ascii="Times New Roman" w:hAnsi="Times New Roman" w:cs="Times New Roman"/>
          <w:sz w:val="20"/>
          <w:szCs w:val="20"/>
          <w:shd w:val="clear" w:color="auto" w:fill="FFFFFF"/>
        </w:rPr>
        <w:t>(1), 159-193.</w:t>
      </w:r>
    </w:p>
    <w:p w14:paraId="39919BC0" w14:textId="3FFCDE4F" w:rsidR="00633E4E" w:rsidRPr="004146A4" w:rsidRDefault="00633E4E"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Phan, H.-T.-P., De Luca, F., &amp; Iaia, L. (2020). The “Walk” towards the UN Sustainable Development Goals: Does Mandated “Talk” through NonFinancial Disclosure Affect Companies’ Financial Performance? </w:t>
      </w:r>
      <w:r w:rsidRPr="004146A4">
        <w:rPr>
          <w:rFonts w:ascii="Times New Roman" w:hAnsi="Times New Roman" w:cs="Times New Roman"/>
          <w:i/>
          <w:iCs/>
          <w:sz w:val="20"/>
          <w:szCs w:val="20"/>
        </w:rPr>
        <w:t>Sustainability</w:t>
      </w:r>
      <w:r w:rsidRPr="004146A4">
        <w:rPr>
          <w:rFonts w:ascii="Times New Roman" w:hAnsi="Times New Roman" w:cs="Times New Roman"/>
          <w:sz w:val="20"/>
          <w:szCs w:val="20"/>
        </w:rPr>
        <w:t xml:space="preserve"> 2020, 12(6), 1-20. </w:t>
      </w:r>
    </w:p>
    <w:p w14:paraId="1F60FC04" w14:textId="62E94B86" w:rsidR="00B81F0F" w:rsidRPr="004146A4" w:rsidRDefault="00B81F0F"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Pina, A., Gannon, T. A., &amp; Saunders, B. (2009). An overview of the literature on sexual harassment: Perpetrator, theory, and treatment issues. </w:t>
      </w:r>
      <w:r w:rsidRPr="004146A4">
        <w:rPr>
          <w:rFonts w:ascii="Times New Roman" w:hAnsi="Times New Roman" w:cs="Times New Roman"/>
          <w:i/>
          <w:iCs/>
          <w:sz w:val="20"/>
          <w:szCs w:val="20"/>
        </w:rPr>
        <w:t>Aggression and Violent Behavior</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14</w:t>
      </w:r>
      <w:r w:rsidRPr="004146A4">
        <w:rPr>
          <w:rFonts w:ascii="Times New Roman" w:hAnsi="Times New Roman" w:cs="Times New Roman"/>
          <w:sz w:val="20"/>
          <w:szCs w:val="20"/>
        </w:rPr>
        <w:t xml:space="preserve">, 126–138. </w:t>
      </w:r>
    </w:p>
    <w:p w14:paraId="690CA4FE" w14:textId="2B0330D1"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lastRenderedPageBreak/>
        <w:t xml:space="preserve">Piotrkowski, C. S. (1998). Gender harassment, job satisfaction, and distress among employed White and minority women. </w:t>
      </w:r>
      <w:r w:rsidRPr="004146A4">
        <w:rPr>
          <w:rFonts w:ascii="Times New Roman" w:hAnsi="Times New Roman" w:cs="Times New Roman"/>
          <w:i/>
          <w:iCs/>
          <w:sz w:val="20"/>
          <w:szCs w:val="20"/>
        </w:rPr>
        <w:t>Journal of Occupational Health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3</w:t>
      </w:r>
      <w:r w:rsidRPr="004146A4">
        <w:rPr>
          <w:rFonts w:ascii="Times New Roman" w:hAnsi="Times New Roman" w:cs="Times New Roman"/>
          <w:sz w:val="20"/>
          <w:szCs w:val="20"/>
        </w:rPr>
        <w:t xml:space="preserve">, 33–43. </w:t>
      </w:r>
    </w:p>
    <w:p w14:paraId="4D92607A" w14:textId="5F1CEB32" w:rsidR="001F6CB5" w:rsidRPr="004146A4" w:rsidRDefault="001F6CB5"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Plastun, A., Makarenko, I., Khomutenko, L., Osetrova, O., &amp; Shcherbakov, P. (2020). SDGs and ESG disclosure regulation: is there an impact? Evidence from Top-50 world economies. </w:t>
      </w:r>
      <w:r w:rsidRPr="004146A4">
        <w:rPr>
          <w:rFonts w:ascii="Times New Roman" w:hAnsi="Times New Roman" w:cs="Times New Roman"/>
          <w:i/>
          <w:iCs/>
          <w:sz w:val="20"/>
          <w:szCs w:val="20"/>
        </w:rPr>
        <w:t>Problems and Perspectives in Management</w:t>
      </w:r>
      <w:r w:rsidRPr="004146A4">
        <w:rPr>
          <w:rFonts w:ascii="Times New Roman" w:hAnsi="Times New Roman" w:cs="Times New Roman"/>
          <w:sz w:val="20"/>
          <w:szCs w:val="20"/>
        </w:rPr>
        <w:t>, </w:t>
      </w:r>
      <w:r w:rsidRPr="004146A4">
        <w:rPr>
          <w:rFonts w:ascii="Times New Roman" w:hAnsi="Times New Roman" w:cs="Times New Roman"/>
          <w:i/>
          <w:iCs/>
          <w:sz w:val="20"/>
          <w:szCs w:val="20"/>
        </w:rPr>
        <w:t>18</w:t>
      </w:r>
      <w:r w:rsidRPr="004146A4">
        <w:rPr>
          <w:rFonts w:ascii="Times New Roman" w:hAnsi="Times New Roman" w:cs="Times New Roman"/>
          <w:sz w:val="20"/>
          <w:szCs w:val="20"/>
        </w:rPr>
        <w:t>(2), 231-245.</w:t>
      </w:r>
    </w:p>
    <w:p w14:paraId="52E542BE" w14:textId="62833D8A" w:rsidR="00B81F0F" w:rsidRPr="004146A4" w:rsidRDefault="00B81F0F"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Pryor, J. B., LaVite, C. M., &amp; Stoller, L. M. (1993). A social psychological analysis of sexual harassment:</w:t>
      </w:r>
      <w:r w:rsidR="00DB5DC3" w:rsidRPr="004146A4">
        <w:rPr>
          <w:rFonts w:ascii="Times New Roman" w:hAnsi="Times New Roman" w:cs="Times New Roman"/>
          <w:sz w:val="20"/>
          <w:szCs w:val="20"/>
        </w:rPr>
        <w:t xml:space="preserve"> </w:t>
      </w:r>
      <w:r w:rsidRPr="004146A4">
        <w:rPr>
          <w:rFonts w:ascii="Times New Roman" w:hAnsi="Times New Roman" w:cs="Times New Roman"/>
          <w:sz w:val="20"/>
          <w:szCs w:val="20"/>
        </w:rPr>
        <w:t xml:space="preserve">The person/situation interaction. </w:t>
      </w:r>
      <w:r w:rsidRPr="004146A4">
        <w:rPr>
          <w:rFonts w:ascii="Times New Roman" w:hAnsi="Times New Roman" w:cs="Times New Roman"/>
          <w:i/>
          <w:iCs/>
          <w:sz w:val="20"/>
          <w:szCs w:val="20"/>
        </w:rPr>
        <w:t>Journal of Vocational Behavior</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42</w:t>
      </w:r>
      <w:r w:rsidRPr="004146A4">
        <w:rPr>
          <w:rFonts w:ascii="Times New Roman" w:hAnsi="Times New Roman" w:cs="Times New Roman"/>
          <w:sz w:val="20"/>
          <w:szCs w:val="20"/>
        </w:rPr>
        <w:t xml:space="preserve">, 68–83. </w:t>
      </w:r>
    </w:p>
    <w:p w14:paraId="4D5032C4" w14:textId="5478D2AC" w:rsidR="00987AF9" w:rsidRPr="004146A4" w:rsidRDefault="00987AF9"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Raver, J. L., &amp; Gelfand, M. J. (2005). Beyond the individual victim: Linking sexual harassment, team processes, and team performance. </w:t>
      </w:r>
      <w:r w:rsidRPr="004146A4">
        <w:rPr>
          <w:rFonts w:ascii="Times New Roman" w:hAnsi="Times New Roman" w:cs="Times New Roman"/>
          <w:i/>
          <w:iCs/>
          <w:sz w:val="20"/>
          <w:szCs w:val="20"/>
          <w:shd w:val="clear" w:color="auto" w:fill="FFFFFF"/>
        </w:rPr>
        <w:t>Academy of Management Journal</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48</w:t>
      </w:r>
      <w:r w:rsidRPr="004146A4">
        <w:rPr>
          <w:rFonts w:ascii="Times New Roman" w:hAnsi="Times New Roman" w:cs="Times New Roman"/>
          <w:sz w:val="20"/>
          <w:szCs w:val="20"/>
          <w:shd w:val="clear" w:color="auto" w:fill="FFFFFF"/>
        </w:rPr>
        <w:t>(3), 387-400.</w:t>
      </w:r>
    </w:p>
    <w:p w14:paraId="0B4824E8" w14:textId="3787F16C" w:rsidR="001E03E4" w:rsidRPr="004146A4" w:rsidRDefault="001E03E4"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Roehling, M. V., &amp; Huang, J. (2018). Sexual harassment training effectiveness: An interdisciplinary review and call for research. </w:t>
      </w:r>
      <w:r w:rsidRPr="004146A4">
        <w:rPr>
          <w:rFonts w:ascii="Times New Roman" w:hAnsi="Times New Roman" w:cs="Times New Roman"/>
          <w:i/>
          <w:iCs/>
          <w:sz w:val="20"/>
          <w:szCs w:val="20"/>
          <w:shd w:val="clear" w:color="auto" w:fill="FFFFFF"/>
        </w:rPr>
        <w:t>Journal of Organizational Behavior</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39</w:t>
      </w:r>
      <w:r w:rsidRPr="004146A4">
        <w:rPr>
          <w:rFonts w:ascii="Times New Roman" w:hAnsi="Times New Roman" w:cs="Times New Roman"/>
          <w:sz w:val="20"/>
          <w:szCs w:val="20"/>
          <w:shd w:val="clear" w:color="auto" w:fill="FFFFFF"/>
        </w:rPr>
        <w:t>(2), 134-150.</w:t>
      </w:r>
    </w:p>
    <w:p w14:paraId="2D068667" w14:textId="2DCB9DCF" w:rsidR="006330CD" w:rsidRPr="004146A4" w:rsidRDefault="006330CD"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Rubino, C., Avery, D. R., McKay, P. F., Moore, B. L., Wilson, D. C., Van Driel, M. S., . . . McDonald, D. P. 2018. And justice for all: How organizational justice climate deters sexual harassment. </w:t>
      </w:r>
      <w:r w:rsidRPr="004146A4">
        <w:rPr>
          <w:rFonts w:ascii="Times New Roman" w:hAnsi="Times New Roman" w:cs="Times New Roman"/>
          <w:i/>
          <w:iCs/>
          <w:sz w:val="20"/>
          <w:szCs w:val="20"/>
        </w:rPr>
        <w:t>Personnel Psychology</w:t>
      </w:r>
      <w:r w:rsidRPr="004146A4">
        <w:rPr>
          <w:rFonts w:ascii="Times New Roman" w:hAnsi="Times New Roman" w:cs="Times New Roman"/>
          <w:sz w:val="20"/>
          <w:szCs w:val="20"/>
        </w:rPr>
        <w:t>, 71: 519-544.</w:t>
      </w:r>
    </w:p>
    <w:p w14:paraId="1D22F07E" w14:textId="71A89813" w:rsidR="001B1337" w:rsidRPr="004146A4" w:rsidRDefault="001B1337"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Sah, S., Loewenstein, G., &amp; Cain, D. M. (2013). The burden of disclosure: increased compliance with distrusted advice. </w:t>
      </w:r>
      <w:r w:rsidRPr="004146A4">
        <w:rPr>
          <w:rFonts w:ascii="Times New Roman" w:hAnsi="Times New Roman" w:cs="Times New Roman"/>
          <w:i/>
          <w:iCs/>
          <w:sz w:val="20"/>
          <w:szCs w:val="20"/>
        </w:rPr>
        <w:t xml:space="preserve">Journal of </w:t>
      </w:r>
      <w:r w:rsidR="003A0598" w:rsidRPr="004146A4">
        <w:rPr>
          <w:rFonts w:ascii="Times New Roman" w:hAnsi="Times New Roman" w:cs="Times New Roman"/>
          <w:i/>
          <w:iCs/>
          <w:sz w:val="20"/>
          <w:szCs w:val="20"/>
        </w:rPr>
        <w:t>P</w:t>
      </w:r>
      <w:r w:rsidRPr="004146A4">
        <w:rPr>
          <w:rFonts w:ascii="Times New Roman" w:hAnsi="Times New Roman" w:cs="Times New Roman"/>
          <w:i/>
          <w:iCs/>
          <w:sz w:val="20"/>
          <w:szCs w:val="20"/>
        </w:rPr>
        <w:t xml:space="preserve">ersonality and </w:t>
      </w:r>
      <w:r w:rsidR="003A0598" w:rsidRPr="004146A4">
        <w:rPr>
          <w:rFonts w:ascii="Times New Roman" w:hAnsi="Times New Roman" w:cs="Times New Roman"/>
          <w:i/>
          <w:iCs/>
          <w:sz w:val="20"/>
          <w:szCs w:val="20"/>
        </w:rPr>
        <w:t>S</w:t>
      </w:r>
      <w:r w:rsidRPr="004146A4">
        <w:rPr>
          <w:rFonts w:ascii="Times New Roman" w:hAnsi="Times New Roman" w:cs="Times New Roman"/>
          <w:i/>
          <w:iCs/>
          <w:sz w:val="20"/>
          <w:szCs w:val="20"/>
        </w:rPr>
        <w:t xml:space="preserve">ocial </w:t>
      </w:r>
      <w:r w:rsidR="003A0598" w:rsidRPr="004146A4">
        <w:rPr>
          <w:rFonts w:ascii="Times New Roman" w:hAnsi="Times New Roman" w:cs="Times New Roman"/>
          <w:i/>
          <w:iCs/>
          <w:sz w:val="20"/>
          <w:szCs w:val="20"/>
        </w:rPr>
        <w:t>P</w:t>
      </w:r>
      <w:r w:rsidRPr="004146A4">
        <w:rPr>
          <w:rFonts w:ascii="Times New Roman" w:hAnsi="Times New Roman" w:cs="Times New Roman"/>
          <w:i/>
          <w:iCs/>
          <w:sz w:val="20"/>
          <w:szCs w:val="20"/>
        </w:rPr>
        <w:t>sychology</w:t>
      </w:r>
      <w:r w:rsidRPr="004146A4">
        <w:rPr>
          <w:rFonts w:ascii="Times New Roman" w:hAnsi="Times New Roman" w:cs="Times New Roman"/>
          <w:sz w:val="20"/>
          <w:szCs w:val="20"/>
        </w:rPr>
        <w:t>, </w:t>
      </w:r>
      <w:r w:rsidRPr="004146A4">
        <w:rPr>
          <w:rFonts w:ascii="Times New Roman" w:hAnsi="Times New Roman" w:cs="Times New Roman"/>
          <w:i/>
          <w:iCs/>
          <w:sz w:val="20"/>
          <w:szCs w:val="20"/>
        </w:rPr>
        <w:t>104</w:t>
      </w:r>
      <w:r w:rsidRPr="004146A4">
        <w:rPr>
          <w:rFonts w:ascii="Times New Roman" w:hAnsi="Times New Roman" w:cs="Times New Roman"/>
          <w:sz w:val="20"/>
          <w:szCs w:val="20"/>
        </w:rPr>
        <w:t>(2), 289.</w:t>
      </w:r>
    </w:p>
    <w:p w14:paraId="478290E9" w14:textId="02885B2F" w:rsidR="00987AF9" w:rsidRPr="004146A4" w:rsidRDefault="00987AF9"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Schneider, K. T. (1996). Bystander stress: The effect of organizational tolerance of sexual harassment on victims' coworkers. University of Illinois at Urbana-Champaign.</w:t>
      </w:r>
    </w:p>
    <w:p w14:paraId="0DA03AD3" w14:textId="7743AE7C" w:rsidR="00E63724" w:rsidRPr="004146A4" w:rsidRDefault="00E63724" w:rsidP="00C4014A">
      <w:pPr>
        <w:spacing w:line="276" w:lineRule="auto"/>
        <w:ind w:firstLine="284"/>
        <w:jc w:val="both"/>
        <w:rPr>
          <w:rStyle w:val="Hyperlink"/>
          <w:rFonts w:ascii="Times New Roman" w:hAnsi="Times New Roman" w:cs="Times New Roman"/>
          <w:color w:val="auto"/>
          <w:sz w:val="20"/>
          <w:szCs w:val="20"/>
        </w:rPr>
      </w:pPr>
      <w:r w:rsidRPr="004146A4">
        <w:rPr>
          <w:rFonts w:ascii="Times New Roman" w:hAnsi="Times New Roman" w:cs="Times New Roman"/>
          <w:sz w:val="20"/>
          <w:szCs w:val="20"/>
        </w:rPr>
        <w:t xml:space="preserve">Schneider, K. T., Swan, S., &amp; Fitzgerald, L. F. (1997). Job-related and psychological effects of sexual harassment in the workplace: Empirical evidence from two organizations. </w:t>
      </w:r>
      <w:r w:rsidRPr="004146A4">
        <w:rPr>
          <w:rFonts w:ascii="Times New Roman" w:hAnsi="Times New Roman" w:cs="Times New Roman"/>
          <w:i/>
          <w:iCs/>
          <w:sz w:val="20"/>
          <w:szCs w:val="20"/>
        </w:rPr>
        <w:t>Journal of Applied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82</w:t>
      </w:r>
      <w:r w:rsidRPr="004146A4">
        <w:rPr>
          <w:rFonts w:ascii="Times New Roman" w:hAnsi="Times New Roman" w:cs="Times New Roman"/>
          <w:sz w:val="20"/>
          <w:szCs w:val="20"/>
        </w:rPr>
        <w:t xml:space="preserve">(3), 401–415. </w:t>
      </w:r>
    </w:p>
    <w:p w14:paraId="6C54D998" w14:textId="6A17A451" w:rsidR="00A52D52" w:rsidRPr="004146A4" w:rsidRDefault="00A52D5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Shadnam, M., &amp; Lawrence, T. B. (2011). Understanding widespread misconduct in organizations: An institutional theory of moral collapse. </w:t>
      </w:r>
      <w:r w:rsidRPr="004146A4">
        <w:rPr>
          <w:rFonts w:ascii="Times New Roman" w:hAnsi="Times New Roman" w:cs="Times New Roman"/>
          <w:i/>
          <w:iCs/>
          <w:sz w:val="20"/>
          <w:szCs w:val="20"/>
          <w:shd w:val="clear" w:color="auto" w:fill="FFFFFF"/>
        </w:rPr>
        <w:t>Business Ethics Quarterly</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21</w:t>
      </w:r>
      <w:r w:rsidRPr="004146A4">
        <w:rPr>
          <w:rFonts w:ascii="Times New Roman" w:hAnsi="Times New Roman" w:cs="Times New Roman"/>
          <w:sz w:val="20"/>
          <w:szCs w:val="20"/>
          <w:shd w:val="clear" w:color="auto" w:fill="FFFFFF"/>
        </w:rPr>
        <w:t>(3), 379-407.</w:t>
      </w:r>
    </w:p>
    <w:p w14:paraId="5DD5587F" w14:textId="1710DBB1"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Sims, C. S., Drasgow, F., &amp; Fitzgerald, L. F. (2005). The effects of sexual harassment on turnover in the military: Time-dependent modeling. </w:t>
      </w:r>
      <w:r w:rsidRPr="004146A4">
        <w:rPr>
          <w:rFonts w:ascii="Times New Roman" w:hAnsi="Times New Roman" w:cs="Times New Roman"/>
          <w:i/>
          <w:iCs/>
          <w:sz w:val="20"/>
          <w:szCs w:val="20"/>
        </w:rPr>
        <w:t>Journal of Applied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90</w:t>
      </w:r>
      <w:r w:rsidRPr="004146A4">
        <w:rPr>
          <w:rFonts w:ascii="Times New Roman" w:hAnsi="Times New Roman" w:cs="Times New Roman"/>
          <w:sz w:val="20"/>
          <w:szCs w:val="20"/>
        </w:rPr>
        <w:t xml:space="preserve">, 1141–1152. </w:t>
      </w:r>
    </w:p>
    <w:p w14:paraId="6897F9AC" w14:textId="39228C8F" w:rsidR="008206F3" w:rsidRPr="004146A4" w:rsidRDefault="008206F3"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Sojo, V. E., Wood, R. E., &amp; Genat, A. E. 2016. Harmful workplace experiences and women’s occupational wellbeing: A meta-analysis. </w:t>
      </w:r>
      <w:r w:rsidRPr="004146A4">
        <w:rPr>
          <w:rFonts w:ascii="Times New Roman" w:hAnsi="Times New Roman" w:cs="Times New Roman"/>
          <w:i/>
          <w:iCs/>
          <w:sz w:val="20"/>
          <w:szCs w:val="20"/>
        </w:rPr>
        <w:t>Psychology of Women Quarterly</w:t>
      </w:r>
      <w:r w:rsidRPr="004146A4">
        <w:rPr>
          <w:rFonts w:ascii="Times New Roman" w:hAnsi="Times New Roman" w:cs="Times New Roman"/>
          <w:sz w:val="20"/>
          <w:szCs w:val="20"/>
        </w:rPr>
        <w:t>, 40: 10-40.</w:t>
      </w:r>
    </w:p>
    <w:p w14:paraId="66232A96" w14:textId="6D8F7138" w:rsidR="00633E4E" w:rsidRPr="004146A4" w:rsidRDefault="00633E4E"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Stacchezzini, R., Melloni, G., &amp; Lai, A. (2016). Sustainability management and reporting: The role of integrated reporting for communicating corporate sustainability. </w:t>
      </w:r>
      <w:r w:rsidRPr="004146A4">
        <w:rPr>
          <w:rFonts w:ascii="Times New Roman" w:hAnsi="Times New Roman" w:cs="Times New Roman"/>
          <w:i/>
          <w:iCs/>
          <w:sz w:val="20"/>
          <w:szCs w:val="20"/>
        </w:rPr>
        <w:t>Journal of Cleaner Production</w:t>
      </w:r>
      <w:r w:rsidRPr="004146A4">
        <w:rPr>
          <w:rFonts w:ascii="Times New Roman" w:hAnsi="Times New Roman" w:cs="Times New Roman"/>
          <w:sz w:val="20"/>
          <w:szCs w:val="20"/>
        </w:rPr>
        <w:t>, 136, 102–11</w:t>
      </w:r>
    </w:p>
    <w:p w14:paraId="32537287" w14:textId="0E54E7DE" w:rsidR="002E2026" w:rsidRPr="004146A4" w:rsidRDefault="002E2026"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Stubbs, W., &amp; Higgins, C. (2018). Stakeholders' perspectives on the role of regulatory reform in integrated reporting. </w:t>
      </w:r>
      <w:r w:rsidRPr="004146A4">
        <w:rPr>
          <w:rFonts w:ascii="Times New Roman" w:hAnsi="Times New Roman" w:cs="Times New Roman"/>
          <w:i/>
          <w:iCs/>
          <w:sz w:val="20"/>
          <w:szCs w:val="20"/>
        </w:rPr>
        <w:t>Journal of Business Ethics</w:t>
      </w:r>
      <w:r w:rsidRPr="004146A4">
        <w:rPr>
          <w:rFonts w:ascii="Times New Roman" w:hAnsi="Times New Roman" w:cs="Times New Roman"/>
          <w:sz w:val="20"/>
          <w:szCs w:val="20"/>
        </w:rPr>
        <w:t>, 147(3), 489–508.</w:t>
      </w:r>
    </w:p>
    <w:p w14:paraId="102AE913" w14:textId="6B44015B" w:rsidR="00F077EA" w:rsidRPr="004146A4" w:rsidRDefault="00F077EA"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Sturm, R. E., Vera, D., &amp; Crossan, M. (2017). The entanglement of leader character and leader competence and its impact on performance. </w:t>
      </w:r>
      <w:r w:rsidRPr="004146A4">
        <w:rPr>
          <w:rFonts w:ascii="Times New Roman" w:hAnsi="Times New Roman" w:cs="Times New Roman"/>
          <w:i/>
          <w:iCs/>
          <w:sz w:val="20"/>
          <w:szCs w:val="20"/>
          <w:shd w:val="clear" w:color="auto" w:fill="FFFFFF"/>
        </w:rPr>
        <w:t>The Leadership Quarterly</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28</w:t>
      </w:r>
      <w:r w:rsidRPr="004146A4">
        <w:rPr>
          <w:rFonts w:ascii="Times New Roman" w:hAnsi="Times New Roman" w:cs="Times New Roman"/>
          <w:sz w:val="20"/>
          <w:szCs w:val="20"/>
          <w:shd w:val="clear" w:color="auto" w:fill="FFFFFF"/>
        </w:rPr>
        <w:t>(3), 349-366.</w:t>
      </w:r>
    </w:p>
    <w:p w14:paraId="737C97EC" w14:textId="71260C08" w:rsidR="002B1B92" w:rsidRPr="004146A4" w:rsidRDefault="002B1B9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Thornton, M. (2002). Sexual harassment losing sight of sex discrimination. </w:t>
      </w:r>
      <w:r w:rsidRPr="004146A4">
        <w:rPr>
          <w:rFonts w:ascii="Times New Roman" w:hAnsi="Times New Roman" w:cs="Times New Roman"/>
          <w:i/>
          <w:iCs/>
          <w:sz w:val="20"/>
          <w:szCs w:val="20"/>
          <w:shd w:val="clear" w:color="auto" w:fill="FFFFFF"/>
        </w:rPr>
        <w:t>Melbourne University Law Review</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26</w:t>
      </w:r>
      <w:r w:rsidRPr="004146A4">
        <w:rPr>
          <w:rFonts w:ascii="Times New Roman" w:hAnsi="Times New Roman" w:cs="Times New Roman"/>
          <w:sz w:val="20"/>
          <w:szCs w:val="20"/>
          <w:shd w:val="clear" w:color="auto" w:fill="FFFFFF"/>
        </w:rPr>
        <w:t>(2), 422-444.</w:t>
      </w:r>
    </w:p>
    <w:p w14:paraId="6380F2FA" w14:textId="0C7ABF3A" w:rsidR="004173D4" w:rsidRPr="004146A4" w:rsidRDefault="004173D4"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Till, F. J. (1980). Sexual harassment: A report on the sexual harassment of students. Washington, DC: National Advisory Council on Women’s Educational Programs.</w:t>
      </w:r>
    </w:p>
    <w:p w14:paraId="5D1A908B" w14:textId="3573FE48" w:rsidR="00BA5950" w:rsidRPr="004146A4" w:rsidRDefault="00BA5950"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Thirarungrueang, K. (2013). Rethinking CSR in Australia: Time for binding regulation? </w:t>
      </w:r>
      <w:r w:rsidRPr="004146A4">
        <w:rPr>
          <w:rFonts w:ascii="Times New Roman" w:hAnsi="Times New Roman" w:cs="Times New Roman"/>
          <w:i/>
          <w:iCs/>
          <w:sz w:val="20"/>
          <w:szCs w:val="20"/>
          <w:shd w:val="clear" w:color="auto" w:fill="FFFFFF"/>
        </w:rPr>
        <w:t>International Journal of Law and Management,</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55</w:t>
      </w:r>
      <w:r w:rsidRPr="004146A4">
        <w:rPr>
          <w:rFonts w:ascii="Times New Roman" w:hAnsi="Times New Roman" w:cs="Times New Roman"/>
          <w:sz w:val="20"/>
          <w:szCs w:val="20"/>
          <w:shd w:val="clear" w:color="auto" w:fill="FFFFFF"/>
        </w:rPr>
        <w:t>(3), 173–200.</w:t>
      </w:r>
    </w:p>
    <w:p w14:paraId="06230309" w14:textId="5C4325E0" w:rsidR="0038791A" w:rsidRPr="004146A4" w:rsidRDefault="0038791A"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United Nations (2015): Transforming Our World. The 2030 Agenda for Sustainable Development. Resolution Adopted by the General Assembly on 25 September 2015, 42809, 1-13. </w:t>
      </w:r>
    </w:p>
    <w:p w14:paraId="0FF04B28" w14:textId="2768A8A0" w:rsidR="00CA7D29" w:rsidRPr="004146A4" w:rsidRDefault="00CA7D29"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lastRenderedPageBreak/>
        <w:t xml:space="preserve">U.S. Equal Employment Opportunity Commission. (n.d.). </w:t>
      </w:r>
      <w:r w:rsidRPr="004146A4">
        <w:rPr>
          <w:rFonts w:ascii="Times New Roman" w:hAnsi="Times New Roman" w:cs="Times New Roman"/>
          <w:i/>
          <w:iCs/>
          <w:sz w:val="20"/>
          <w:szCs w:val="20"/>
        </w:rPr>
        <w:t>Overview</w:t>
      </w:r>
      <w:r w:rsidRPr="004146A4">
        <w:rPr>
          <w:rFonts w:ascii="Times New Roman" w:hAnsi="Times New Roman" w:cs="Times New Roman"/>
          <w:sz w:val="20"/>
          <w:szCs w:val="20"/>
        </w:rPr>
        <w:t xml:space="preserve">. US EEOC Overview. </w:t>
      </w:r>
      <w:hyperlink r:id="rId13" w:history="1">
        <w:r w:rsidRPr="004146A4">
          <w:rPr>
            <w:rStyle w:val="Hyperlink"/>
            <w:rFonts w:ascii="Times New Roman" w:hAnsi="Times New Roman" w:cs="Times New Roman"/>
            <w:color w:val="auto"/>
            <w:sz w:val="20"/>
            <w:szCs w:val="20"/>
          </w:rPr>
          <w:t>https://www.eeoc.gov/overview</w:t>
        </w:r>
      </w:hyperlink>
      <w:r w:rsidRPr="004146A4">
        <w:rPr>
          <w:rFonts w:ascii="Times New Roman" w:hAnsi="Times New Roman" w:cs="Times New Roman"/>
          <w:sz w:val="20"/>
          <w:szCs w:val="20"/>
        </w:rPr>
        <w:t xml:space="preserve">, accessed on January 28, 2024. </w:t>
      </w:r>
    </w:p>
    <w:p w14:paraId="736761BD" w14:textId="4EEB5F76" w:rsidR="00A52D52" w:rsidRPr="004146A4" w:rsidRDefault="00A52D52"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Ward, T., &amp; Keenan, T. (1999). Child molesters' implicit theories. </w:t>
      </w:r>
      <w:r w:rsidRPr="004146A4">
        <w:rPr>
          <w:rFonts w:ascii="Times New Roman" w:hAnsi="Times New Roman" w:cs="Times New Roman"/>
          <w:i/>
          <w:iCs/>
          <w:sz w:val="20"/>
          <w:szCs w:val="20"/>
          <w:shd w:val="clear" w:color="auto" w:fill="FFFFFF"/>
        </w:rPr>
        <w:t xml:space="preserve">Journal of </w:t>
      </w:r>
      <w:r w:rsidR="003A0598" w:rsidRPr="004146A4">
        <w:rPr>
          <w:rFonts w:ascii="Times New Roman" w:hAnsi="Times New Roman" w:cs="Times New Roman"/>
          <w:i/>
          <w:iCs/>
          <w:sz w:val="20"/>
          <w:szCs w:val="20"/>
          <w:shd w:val="clear" w:color="auto" w:fill="FFFFFF"/>
        </w:rPr>
        <w:t>I</w:t>
      </w:r>
      <w:r w:rsidRPr="004146A4">
        <w:rPr>
          <w:rFonts w:ascii="Times New Roman" w:hAnsi="Times New Roman" w:cs="Times New Roman"/>
          <w:i/>
          <w:iCs/>
          <w:sz w:val="20"/>
          <w:szCs w:val="20"/>
          <w:shd w:val="clear" w:color="auto" w:fill="FFFFFF"/>
        </w:rPr>
        <w:t xml:space="preserve">nterpersonal </w:t>
      </w:r>
      <w:r w:rsidR="003A0598" w:rsidRPr="004146A4">
        <w:rPr>
          <w:rFonts w:ascii="Times New Roman" w:hAnsi="Times New Roman" w:cs="Times New Roman"/>
          <w:i/>
          <w:iCs/>
          <w:sz w:val="20"/>
          <w:szCs w:val="20"/>
          <w:shd w:val="clear" w:color="auto" w:fill="FFFFFF"/>
        </w:rPr>
        <w:t>V</w:t>
      </w:r>
      <w:r w:rsidRPr="004146A4">
        <w:rPr>
          <w:rFonts w:ascii="Times New Roman" w:hAnsi="Times New Roman" w:cs="Times New Roman"/>
          <w:i/>
          <w:iCs/>
          <w:sz w:val="20"/>
          <w:szCs w:val="20"/>
          <w:shd w:val="clear" w:color="auto" w:fill="FFFFFF"/>
        </w:rPr>
        <w:t>iolence</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14</w:t>
      </w:r>
      <w:r w:rsidRPr="004146A4">
        <w:rPr>
          <w:rFonts w:ascii="Times New Roman" w:hAnsi="Times New Roman" w:cs="Times New Roman"/>
          <w:sz w:val="20"/>
          <w:szCs w:val="20"/>
          <w:shd w:val="clear" w:color="auto" w:fill="FFFFFF"/>
        </w:rPr>
        <w:t>(8), 821-838.</w:t>
      </w:r>
    </w:p>
    <w:p w14:paraId="5484F2EA" w14:textId="7CC8DC8E" w:rsidR="006330CD" w:rsidRPr="004146A4" w:rsidRDefault="006330CD"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rPr>
        <w:t xml:space="preserve">Willness, C. R., Steel, P., &amp; Lee, K. (2007). A meta-analysis of the antecedents and consequences of workplace sexual harassment. </w:t>
      </w:r>
      <w:r w:rsidRPr="004146A4">
        <w:rPr>
          <w:rFonts w:ascii="Times New Roman" w:hAnsi="Times New Roman" w:cs="Times New Roman"/>
          <w:i/>
          <w:iCs/>
          <w:sz w:val="20"/>
          <w:szCs w:val="20"/>
        </w:rPr>
        <w:t>Personnel Psychology</w:t>
      </w:r>
      <w:r w:rsidRPr="004146A4">
        <w:rPr>
          <w:rFonts w:ascii="Times New Roman" w:hAnsi="Times New Roman" w:cs="Times New Roman"/>
          <w:sz w:val="20"/>
          <w:szCs w:val="20"/>
        </w:rPr>
        <w:t xml:space="preserve">, </w:t>
      </w:r>
      <w:r w:rsidRPr="004146A4">
        <w:rPr>
          <w:rFonts w:ascii="Times New Roman" w:hAnsi="Times New Roman" w:cs="Times New Roman"/>
          <w:i/>
          <w:iCs/>
          <w:sz w:val="20"/>
          <w:szCs w:val="20"/>
        </w:rPr>
        <w:t>60</w:t>
      </w:r>
      <w:r w:rsidRPr="004146A4">
        <w:rPr>
          <w:rFonts w:ascii="Times New Roman" w:hAnsi="Times New Roman" w:cs="Times New Roman"/>
          <w:sz w:val="20"/>
          <w:szCs w:val="20"/>
        </w:rPr>
        <w:t xml:space="preserve">, 127–162. </w:t>
      </w:r>
    </w:p>
    <w:p w14:paraId="6BACCCE5" w14:textId="51565840" w:rsidR="00DF0DC6" w:rsidRPr="004146A4" w:rsidRDefault="00DF0DC6" w:rsidP="00C4014A">
      <w:pPr>
        <w:spacing w:line="276" w:lineRule="auto"/>
        <w:ind w:firstLine="284"/>
        <w:jc w:val="both"/>
        <w:rPr>
          <w:rFonts w:ascii="Times New Roman" w:hAnsi="Times New Roman" w:cs="Times New Roman"/>
          <w:sz w:val="20"/>
          <w:szCs w:val="20"/>
          <w:shd w:val="clear" w:color="auto" w:fill="FFFFFF"/>
        </w:rPr>
      </w:pPr>
      <w:r w:rsidRPr="004146A4">
        <w:rPr>
          <w:rFonts w:ascii="Times New Roman" w:hAnsi="Times New Roman" w:cs="Times New Roman"/>
          <w:sz w:val="20"/>
          <w:szCs w:val="20"/>
          <w:shd w:val="clear" w:color="auto" w:fill="FFFFFF"/>
        </w:rPr>
        <w:t>Zippel, K. S. (2006). The politics of sexual harassment: A comparative study of the United States, the European Union, and Germany. Cambridge University Press.</w:t>
      </w:r>
    </w:p>
    <w:p w14:paraId="199EF1DD" w14:textId="5D1437C8" w:rsidR="00A03071" w:rsidRPr="004146A4" w:rsidRDefault="00A03071" w:rsidP="00C4014A">
      <w:pPr>
        <w:spacing w:line="276" w:lineRule="auto"/>
        <w:ind w:firstLine="284"/>
        <w:jc w:val="both"/>
        <w:rPr>
          <w:rFonts w:ascii="Times New Roman" w:hAnsi="Times New Roman" w:cs="Times New Roman"/>
          <w:sz w:val="20"/>
          <w:szCs w:val="20"/>
        </w:rPr>
      </w:pPr>
      <w:r w:rsidRPr="004146A4">
        <w:rPr>
          <w:rFonts w:ascii="Times New Roman" w:hAnsi="Times New Roman" w:cs="Times New Roman"/>
          <w:sz w:val="20"/>
          <w:szCs w:val="20"/>
          <w:shd w:val="clear" w:color="auto" w:fill="FFFFFF"/>
        </w:rPr>
        <w:t>Zippel, K. (2009). The European Union 2002 Directive on sexual harassment: A feminist success?. </w:t>
      </w:r>
      <w:r w:rsidRPr="004146A4">
        <w:rPr>
          <w:rFonts w:ascii="Times New Roman" w:hAnsi="Times New Roman" w:cs="Times New Roman"/>
          <w:i/>
          <w:iCs/>
          <w:sz w:val="20"/>
          <w:szCs w:val="20"/>
          <w:shd w:val="clear" w:color="auto" w:fill="FFFFFF"/>
        </w:rPr>
        <w:t>Comparative European Politics</w:t>
      </w:r>
      <w:r w:rsidRPr="004146A4">
        <w:rPr>
          <w:rFonts w:ascii="Times New Roman" w:hAnsi="Times New Roman" w:cs="Times New Roman"/>
          <w:sz w:val="20"/>
          <w:szCs w:val="20"/>
          <w:shd w:val="clear" w:color="auto" w:fill="FFFFFF"/>
        </w:rPr>
        <w:t>, </w:t>
      </w:r>
      <w:r w:rsidRPr="004146A4">
        <w:rPr>
          <w:rFonts w:ascii="Times New Roman" w:hAnsi="Times New Roman" w:cs="Times New Roman"/>
          <w:i/>
          <w:iCs/>
          <w:sz w:val="20"/>
          <w:szCs w:val="20"/>
          <w:shd w:val="clear" w:color="auto" w:fill="FFFFFF"/>
        </w:rPr>
        <w:t>7</w:t>
      </w:r>
      <w:r w:rsidRPr="004146A4">
        <w:rPr>
          <w:rFonts w:ascii="Times New Roman" w:hAnsi="Times New Roman" w:cs="Times New Roman"/>
          <w:sz w:val="20"/>
          <w:szCs w:val="20"/>
          <w:shd w:val="clear" w:color="auto" w:fill="FFFFFF"/>
        </w:rPr>
        <w:t>, 139-157.</w:t>
      </w:r>
    </w:p>
    <w:p w14:paraId="544DE1AD" w14:textId="77777777" w:rsidR="0038791A" w:rsidRPr="0038791A" w:rsidRDefault="0038791A" w:rsidP="0038791A">
      <w:pPr>
        <w:spacing w:line="360" w:lineRule="auto"/>
        <w:jc w:val="both"/>
        <w:rPr>
          <w:rFonts w:ascii="Times New Roman" w:hAnsi="Times New Roman" w:cs="Times New Roman"/>
          <w:sz w:val="24"/>
          <w:szCs w:val="24"/>
        </w:rPr>
      </w:pPr>
    </w:p>
    <w:sectPr w:rsidR="0038791A" w:rsidRPr="0038791A" w:rsidSect="003539C8">
      <w:footerReference w:type="default" r:id="rId1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C2ADC" w14:textId="77777777" w:rsidR="009974C1" w:rsidRDefault="009974C1" w:rsidP="008D6F38">
      <w:pPr>
        <w:spacing w:after="0" w:line="240" w:lineRule="auto"/>
      </w:pPr>
      <w:r>
        <w:separator/>
      </w:r>
    </w:p>
  </w:endnote>
  <w:endnote w:type="continuationSeparator" w:id="0">
    <w:p w14:paraId="2AB82750" w14:textId="77777777" w:rsidR="009974C1" w:rsidRDefault="009974C1" w:rsidP="008D6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9DBD8" w14:textId="77777777" w:rsidR="00D770EF" w:rsidRPr="00D770EF" w:rsidRDefault="00D770EF" w:rsidP="00D770EF">
    <w:pPr>
      <w:pStyle w:val="Fuzeile"/>
      <w:rPr>
        <w:lang w:val="de-DE"/>
      </w:rPr>
    </w:pPr>
  </w:p>
  <w:sdt>
    <w:sdtPr>
      <w:id w:val="-1480920587"/>
      <w:docPartObj>
        <w:docPartGallery w:val="Page Numbers (Bottom of Page)"/>
        <w:docPartUnique/>
      </w:docPartObj>
    </w:sdtPr>
    <w:sdtContent>
      <w:p w14:paraId="6D7E5BE6" w14:textId="31867DEE" w:rsidR="00D770EF" w:rsidRDefault="00D770EF">
        <w:pPr>
          <w:pStyle w:val="Fuzeile"/>
          <w:jc w:val="right"/>
        </w:pPr>
        <w:r w:rsidRPr="00D770EF">
          <w:rPr>
            <w:rFonts w:ascii="Times New Roman" w:hAnsi="Times New Roman" w:cs="Times New Roman"/>
          </w:rPr>
          <w:fldChar w:fldCharType="begin"/>
        </w:r>
        <w:r w:rsidRPr="00D770EF">
          <w:rPr>
            <w:rFonts w:ascii="Times New Roman" w:hAnsi="Times New Roman" w:cs="Times New Roman"/>
          </w:rPr>
          <w:instrText>PAGE   \* MERGEFORMAT</w:instrText>
        </w:r>
        <w:r w:rsidRPr="00D770EF">
          <w:rPr>
            <w:rFonts w:ascii="Times New Roman" w:hAnsi="Times New Roman" w:cs="Times New Roman"/>
          </w:rPr>
          <w:fldChar w:fldCharType="separate"/>
        </w:r>
        <w:r w:rsidRPr="00D770EF">
          <w:rPr>
            <w:rFonts w:ascii="Times New Roman" w:hAnsi="Times New Roman" w:cs="Times New Roman"/>
            <w:lang w:val="de-DE"/>
          </w:rPr>
          <w:t>2</w:t>
        </w:r>
        <w:r w:rsidRPr="00D770EF">
          <w:rPr>
            <w:rFonts w:ascii="Times New Roman" w:hAnsi="Times New Roman" w:cs="Times New Roman"/>
          </w:rPr>
          <w:fldChar w:fldCharType="end"/>
        </w:r>
      </w:p>
    </w:sdtContent>
  </w:sdt>
  <w:p w14:paraId="5B1EEE92" w14:textId="77777777" w:rsidR="008D6F38" w:rsidRDefault="008D6F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679903"/>
      <w:docPartObj>
        <w:docPartGallery w:val="Page Numbers (Bottom of Page)"/>
        <w:docPartUnique/>
      </w:docPartObj>
    </w:sdtPr>
    <w:sdtContent>
      <w:p w14:paraId="007D5F74" w14:textId="77777777" w:rsidR="003539C8" w:rsidRPr="00D770EF" w:rsidRDefault="003539C8" w:rsidP="003539C8">
        <w:pPr>
          <w:pStyle w:val="Fuzeile"/>
          <w:rPr>
            <w:rFonts w:ascii="Times New Roman" w:hAnsi="Times New Roman" w:cs="Times New Roman"/>
            <w:sz w:val="20"/>
            <w:szCs w:val="20"/>
            <w:lang w:val="de-DE"/>
          </w:rPr>
        </w:pPr>
        <w:r w:rsidRPr="00D770EF">
          <w:rPr>
            <w:rFonts w:ascii="Times New Roman" w:hAnsi="Times New Roman" w:cs="Times New Roman"/>
            <w:sz w:val="20"/>
            <w:szCs w:val="20"/>
            <w:vertAlign w:val="superscript"/>
          </w:rPr>
          <w:t>1</w:t>
        </w:r>
        <w:r w:rsidRPr="00D770EF">
          <w:rPr>
            <w:rFonts w:ascii="Times New Roman" w:hAnsi="Times New Roman" w:cs="Times New Roman"/>
            <w:sz w:val="20"/>
            <w:szCs w:val="20"/>
          </w:rPr>
          <w:t xml:space="preserve">University of Augsburg, </w:t>
        </w:r>
        <w:proofErr w:type="spellStart"/>
        <w:r w:rsidRPr="00D770EF">
          <w:rPr>
            <w:rFonts w:ascii="Times New Roman" w:hAnsi="Times New Roman" w:cs="Times New Roman"/>
            <w:sz w:val="20"/>
            <w:szCs w:val="20"/>
          </w:rPr>
          <w:t>Universitaetsstr</w:t>
        </w:r>
        <w:proofErr w:type="spellEnd"/>
        <w:r w:rsidRPr="00D770EF">
          <w:rPr>
            <w:rFonts w:ascii="Times New Roman" w:hAnsi="Times New Roman" w:cs="Times New Roman"/>
            <w:sz w:val="20"/>
            <w:szCs w:val="20"/>
          </w:rPr>
          <w:t xml:space="preserve">. </w:t>
        </w:r>
        <w:r w:rsidRPr="00D770EF">
          <w:rPr>
            <w:rFonts w:ascii="Times New Roman" w:hAnsi="Times New Roman" w:cs="Times New Roman"/>
            <w:sz w:val="20"/>
            <w:szCs w:val="20"/>
            <w:lang w:val="de-DE"/>
          </w:rPr>
          <w:t xml:space="preserve">16, 86159 Augsburg, Germany, </w:t>
        </w:r>
        <w:hyperlink r:id="rId1" w:history="1">
          <w:r w:rsidRPr="00D770EF">
            <w:rPr>
              <w:rStyle w:val="Hyperlink"/>
              <w:rFonts w:ascii="Times New Roman" w:hAnsi="Times New Roman" w:cs="Times New Roman"/>
              <w:sz w:val="20"/>
              <w:szCs w:val="20"/>
              <w:lang w:val="de-DE"/>
            </w:rPr>
            <w:t>jasmin.kopp@uni-a.de</w:t>
          </w:r>
        </w:hyperlink>
        <w:r w:rsidRPr="00D770EF">
          <w:rPr>
            <w:rFonts w:ascii="Times New Roman" w:hAnsi="Times New Roman" w:cs="Times New Roman"/>
            <w:sz w:val="20"/>
            <w:szCs w:val="20"/>
            <w:lang w:val="de-DE"/>
          </w:rPr>
          <w:t xml:space="preserve">, </w:t>
        </w:r>
        <w:r w:rsidRPr="00D770EF">
          <w:rPr>
            <w:rFonts w:ascii="Times New Roman" w:hAnsi="Times New Roman" w:cs="Times New Roman"/>
            <w:sz w:val="20"/>
            <w:szCs w:val="20"/>
            <w:lang w:val="de-DE"/>
          </w:rPr>
          <w:br/>
          <w:t>+49 821 598 4162</w:t>
        </w:r>
      </w:p>
      <w:p w14:paraId="64C387FB" w14:textId="77777777" w:rsidR="003539C8" w:rsidRPr="00D770EF" w:rsidRDefault="003539C8" w:rsidP="003539C8">
        <w:pPr>
          <w:pStyle w:val="Fuzeile"/>
          <w:rPr>
            <w:rFonts w:ascii="Times New Roman" w:hAnsi="Times New Roman" w:cs="Times New Roman"/>
            <w:sz w:val="20"/>
            <w:szCs w:val="20"/>
            <w:lang w:val="de-DE"/>
          </w:rPr>
        </w:pPr>
        <w:r w:rsidRPr="00D770EF">
          <w:rPr>
            <w:rFonts w:ascii="Times New Roman" w:hAnsi="Times New Roman" w:cs="Times New Roman"/>
            <w:sz w:val="20"/>
            <w:szCs w:val="20"/>
            <w:vertAlign w:val="superscript"/>
          </w:rPr>
          <w:t>2</w:t>
        </w:r>
        <w:r w:rsidRPr="00D770EF">
          <w:rPr>
            <w:rFonts w:ascii="Times New Roman" w:hAnsi="Times New Roman" w:cs="Times New Roman"/>
            <w:sz w:val="20"/>
            <w:szCs w:val="20"/>
          </w:rPr>
          <w:t xml:space="preserve">University of Augsburg, </w:t>
        </w:r>
        <w:proofErr w:type="spellStart"/>
        <w:r w:rsidRPr="00D770EF">
          <w:rPr>
            <w:rFonts w:ascii="Times New Roman" w:hAnsi="Times New Roman" w:cs="Times New Roman"/>
            <w:sz w:val="20"/>
            <w:szCs w:val="20"/>
          </w:rPr>
          <w:t>Universitaetsstr</w:t>
        </w:r>
        <w:proofErr w:type="spellEnd"/>
        <w:r w:rsidRPr="00D770EF">
          <w:rPr>
            <w:rFonts w:ascii="Times New Roman" w:hAnsi="Times New Roman" w:cs="Times New Roman"/>
            <w:sz w:val="20"/>
            <w:szCs w:val="20"/>
          </w:rPr>
          <w:t xml:space="preserve">. </w:t>
        </w:r>
        <w:r w:rsidRPr="00D770EF">
          <w:rPr>
            <w:rFonts w:ascii="Times New Roman" w:hAnsi="Times New Roman" w:cs="Times New Roman"/>
            <w:sz w:val="20"/>
            <w:szCs w:val="20"/>
            <w:lang w:val="de-DE"/>
          </w:rPr>
          <w:t xml:space="preserve">16, 86159 Augsburg, Germany, </w:t>
        </w:r>
        <w:hyperlink r:id="rId2" w:history="1">
          <w:r w:rsidRPr="00D770EF">
            <w:rPr>
              <w:rStyle w:val="Hyperlink"/>
              <w:rFonts w:ascii="Times New Roman" w:hAnsi="Times New Roman" w:cs="Times New Roman"/>
              <w:sz w:val="20"/>
              <w:szCs w:val="20"/>
              <w:lang w:val="de-DE"/>
            </w:rPr>
            <w:t>katharine.wirsching@uni-a.de</w:t>
          </w:r>
        </w:hyperlink>
        <w:r w:rsidRPr="00D770EF">
          <w:rPr>
            <w:rFonts w:ascii="Times New Roman" w:hAnsi="Times New Roman" w:cs="Times New Roman"/>
            <w:sz w:val="20"/>
            <w:szCs w:val="20"/>
            <w:lang w:val="de-DE"/>
          </w:rPr>
          <w:t xml:space="preserve"> </w:t>
        </w:r>
      </w:p>
      <w:p w14:paraId="0B97C58F" w14:textId="03E47A7D" w:rsidR="0041288C" w:rsidRPr="003539C8" w:rsidRDefault="0041288C" w:rsidP="003539C8">
        <w:pPr>
          <w:pStyle w:val="Fuzeile"/>
          <w:jc w:val="right"/>
          <w:rPr>
            <w:rFonts w:ascii="Times New Roman" w:hAnsi="Times New Roman" w:cs="Times New Roman"/>
          </w:rPr>
        </w:pPr>
        <w:r w:rsidRPr="0041288C">
          <w:rPr>
            <w:rFonts w:ascii="Times New Roman" w:hAnsi="Times New Roman" w:cs="Times New Roman"/>
          </w:rPr>
          <w:fldChar w:fldCharType="begin"/>
        </w:r>
        <w:r w:rsidRPr="0041288C">
          <w:rPr>
            <w:rFonts w:ascii="Times New Roman" w:hAnsi="Times New Roman" w:cs="Times New Roman"/>
          </w:rPr>
          <w:instrText>PAGE   \* MERGEFORMAT</w:instrText>
        </w:r>
        <w:r w:rsidRPr="0041288C">
          <w:rPr>
            <w:rFonts w:ascii="Times New Roman" w:hAnsi="Times New Roman" w:cs="Times New Roman"/>
          </w:rPr>
          <w:fldChar w:fldCharType="separate"/>
        </w:r>
        <w:r w:rsidRPr="0041288C">
          <w:rPr>
            <w:rFonts w:ascii="Times New Roman" w:hAnsi="Times New Roman" w:cs="Times New Roman"/>
            <w:lang w:val="de-DE"/>
          </w:rPr>
          <w:t>2</w:t>
        </w:r>
        <w:r w:rsidRPr="0041288C">
          <w:rPr>
            <w:rFonts w:ascii="Times New Roman" w:hAnsi="Times New Roman" w:cs="Times New Roman"/>
          </w:rPr>
          <w:fldChar w:fldCharType="end"/>
        </w:r>
      </w:p>
    </w:sdtContent>
  </w:sdt>
  <w:p w14:paraId="765A71E6" w14:textId="77777777" w:rsidR="003539C8" w:rsidRDefault="003539C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067424"/>
      <w:docPartObj>
        <w:docPartGallery w:val="Page Numbers (Bottom of Page)"/>
        <w:docPartUnique/>
      </w:docPartObj>
    </w:sdtPr>
    <w:sdtContent>
      <w:p w14:paraId="7A0A29AF" w14:textId="2B10D437" w:rsidR="003539C8" w:rsidRPr="00D770EF" w:rsidRDefault="003539C8" w:rsidP="003539C8">
        <w:pPr>
          <w:pStyle w:val="Fuzeile"/>
          <w:rPr>
            <w:rFonts w:ascii="Times New Roman" w:hAnsi="Times New Roman" w:cs="Times New Roman"/>
            <w:sz w:val="20"/>
            <w:szCs w:val="20"/>
            <w:lang w:val="de-DE"/>
          </w:rPr>
        </w:pPr>
        <w:r w:rsidRPr="00D770EF">
          <w:rPr>
            <w:rFonts w:ascii="Times New Roman" w:hAnsi="Times New Roman" w:cs="Times New Roman"/>
            <w:sz w:val="20"/>
            <w:szCs w:val="20"/>
            <w:lang w:val="de-DE"/>
          </w:rPr>
          <w:t xml:space="preserve"> </w:t>
        </w:r>
      </w:p>
      <w:p w14:paraId="72EE243E" w14:textId="77777777" w:rsidR="003539C8" w:rsidRPr="003539C8" w:rsidRDefault="003539C8" w:rsidP="003539C8">
        <w:pPr>
          <w:pStyle w:val="Fuzeile"/>
          <w:jc w:val="right"/>
          <w:rPr>
            <w:rFonts w:ascii="Times New Roman" w:hAnsi="Times New Roman" w:cs="Times New Roman"/>
          </w:rPr>
        </w:pPr>
        <w:r w:rsidRPr="0041288C">
          <w:rPr>
            <w:rFonts w:ascii="Times New Roman" w:hAnsi="Times New Roman" w:cs="Times New Roman"/>
          </w:rPr>
          <w:fldChar w:fldCharType="begin"/>
        </w:r>
        <w:r w:rsidRPr="0041288C">
          <w:rPr>
            <w:rFonts w:ascii="Times New Roman" w:hAnsi="Times New Roman" w:cs="Times New Roman"/>
          </w:rPr>
          <w:instrText>PAGE   \* MERGEFORMAT</w:instrText>
        </w:r>
        <w:r w:rsidRPr="0041288C">
          <w:rPr>
            <w:rFonts w:ascii="Times New Roman" w:hAnsi="Times New Roman" w:cs="Times New Roman"/>
          </w:rPr>
          <w:fldChar w:fldCharType="separate"/>
        </w:r>
        <w:r w:rsidRPr="0041288C">
          <w:rPr>
            <w:rFonts w:ascii="Times New Roman" w:hAnsi="Times New Roman" w:cs="Times New Roman"/>
            <w:lang w:val="de-DE"/>
          </w:rPr>
          <w:t>2</w:t>
        </w:r>
        <w:r w:rsidRPr="0041288C">
          <w:rPr>
            <w:rFonts w:ascii="Times New Roman" w:hAnsi="Times New Roman" w:cs="Times New Roman"/>
          </w:rPr>
          <w:fldChar w:fldCharType="end"/>
        </w:r>
      </w:p>
    </w:sdtContent>
  </w:sdt>
  <w:p w14:paraId="34F16086" w14:textId="77777777" w:rsidR="003539C8" w:rsidRDefault="003539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01DB7" w14:textId="77777777" w:rsidR="009974C1" w:rsidRDefault="009974C1" w:rsidP="008D6F38">
      <w:pPr>
        <w:spacing w:after="0" w:line="240" w:lineRule="auto"/>
      </w:pPr>
      <w:r>
        <w:separator/>
      </w:r>
    </w:p>
  </w:footnote>
  <w:footnote w:type="continuationSeparator" w:id="0">
    <w:p w14:paraId="4906C290" w14:textId="77777777" w:rsidR="009974C1" w:rsidRDefault="009974C1" w:rsidP="008D6F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C43C4"/>
    <w:multiLevelType w:val="hybridMultilevel"/>
    <w:tmpl w:val="6498834C"/>
    <w:lvl w:ilvl="0" w:tplc="D8A838F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2F3793"/>
    <w:multiLevelType w:val="hybridMultilevel"/>
    <w:tmpl w:val="78361E9E"/>
    <w:lvl w:ilvl="0" w:tplc="D8A838F4">
      <w:start w:val="1"/>
      <w:numFmt w:val="bullet"/>
      <w:lvlText w:val=""/>
      <w:lvlJc w:val="left"/>
      <w:pPr>
        <w:tabs>
          <w:tab w:val="num" w:pos="720"/>
        </w:tabs>
        <w:ind w:left="720" w:hanging="360"/>
      </w:pPr>
      <w:rPr>
        <w:rFonts w:ascii="Wingdings" w:hAnsi="Wingdings" w:hint="default"/>
      </w:rPr>
    </w:lvl>
    <w:lvl w:ilvl="1" w:tplc="4A925AEE">
      <w:numFmt w:val="bullet"/>
      <w:lvlText w:val=""/>
      <w:lvlJc w:val="left"/>
      <w:pPr>
        <w:tabs>
          <w:tab w:val="num" w:pos="1440"/>
        </w:tabs>
        <w:ind w:left="1440" w:hanging="360"/>
      </w:pPr>
      <w:rPr>
        <w:rFonts w:ascii="Wingdings" w:hAnsi="Wingdings" w:hint="default"/>
      </w:rPr>
    </w:lvl>
    <w:lvl w:ilvl="2" w:tplc="BF00E258" w:tentative="1">
      <w:start w:val="1"/>
      <w:numFmt w:val="bullet"/>
      <w:lvlText w:val=""/>
      <w:lvlJc w:val="left"/>
      <w:pPr>
        <w:tabs>
          <w:tab w:val="num" w:pos="2160"/>
        </w:tabs>
        <w:ind w:left="2160" w:hanging="360"/>
      </w:pPr>
      <w:rPr>
        <w:rFonts w:ascii="Wingdings" w:hAnsi="Wingdings" w:hint="default"/>
      </w:rPr>
    </w:lvl>
    <w:lvl w:ilvl="3" w:tplc="E040A97A" w:tentative="1">
      <w:start w:val="1"/>
      <w:numFmt w:val="bullet"/>
      <w:lvlText w:val=""/>
      <w:lvlJc w:val="left"/>
      <w:pPr>
        <w:tabs>
          <w:tab w:val="num" w:pos="2880"/>
        </w:tabs>
        <w:ind w:left="2880" w:hanging="360"/>
      </w:pPr>
      <w:rPr>
        <w:rFonts w:ascii="Wingdings" w:hAnsi="Wingdings" w:hint="default"/>
      </w:rPr>
    </w:lvl>
    <w:lvl w:ilvl="4" w:tplc="5D96D996" w:tentative="1">
      <w:start w:val="1"/>
      <w:numFmt w:val="bullet"/>
      <w:lvlText w:val=""/>
      <w:lvlJc w:val="left"/>
      <w:pPr>
        <w:tabs>
          <w:tab w:val="num" w:pos="3600"/>
        </w:tabs>
        <w:ind w:left="3600" w:hanging="360"/>
      </w:pPr>
      <w:rPr>
        <w:rFonts w:ascii="Wingdings" w:hAnsi="Wingdings" w:hint="default"/>
      </w:rPr>
    </w:lvl>
    <w:lvl w:ilvl="5" w:tplc="FD9E517A" w:tentative="1">
      <w:start w:val="1"/>
      <w:numFmt w:val="bullet"/>
      <w:lvlText w:val=""/>
      <w:lvlJc w:val="left"/>
      <w:pPr>
        <w:tabs>
          <w:tab w:val="num" w:pos="4320"/>
        </w:tabs>
        <w:ind w:left="4320" w:hanging="360"/>
      </w:pPr>
      <w:rPr>
        <w:rFonts w:ascii="Wingdings" w:hAnsi="Wingdings" w:hint="default"/>
      </w:rPr>
    </w:lvl>
    <w:lvl w:ilvl="6" w:tplc="0A8CF90E" w:tentative="1">
      <w:start w:val="1"/>
      <w:numFmt w:val="bullet"/>
      <w:lvlText w:val=""/>
      <w:lvlJc w:val="left"/>
      <w:pPr>
        <w:tabs>
          <w:tab w:val="num" w:pos="5040"/>
        </w:tabs>
        <w:ind w:left="5040" w:hanging="360"/>
      </w:pPr>
      <w:rPr>
        <w:rFonts w:ascii="Wingdings" w:hAnsi="Wingdings" w:hint="default"/>
      </w:rPr>
    </w:lvl>
    <w:lvl w:ilvl="7" w:tplc="420AE5B4" w:tentative="1">
      <w:start w:val="1"/>
      <w:numFmt w:val="bullet"/>
      <w:lvlText w:val=""/>
      <w:lvlJc w:val="left"/>
      <w:pPr>
        <w:tabs>
          <w:tab w:val="num" w:pos="5760"/>
        </w:tabs>
        <w:ind w:left="5760" w:hanging="360"/>
      </w:pPr>
      <w:rPr>
        <w:rFonts w:ascii="Wingdings" w:hAnsi="Wingdings" w:hint="default"/>
      </w:rPr>
    </w:lvl>
    <w:lvl w:ilvl="8" w:tplc="C752477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865411"/>
    <w:multiLevelType w:val="hybridMultilevel"/>
    <w:tmpl w:val="A9B4D0CE"/>
    <w:lvl w:ilvl="0" w:tplc="6862D9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3976801">
    <w:abstractNumId w:val="1"/>
  </w:num>
  <w:num w:numId="2" w16cid:durableId="1726298680">
    <w:abstractNumId w:val="2"/>
  </w:num>
  <w:num w:numId="3" w16cid:durableId="83022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4D"/>
    <w:rsid w:val="00003B28"/>
    <w:rsid w:val="00015F30"/>
    <w:rsid w:val="0005772B"/>
    <w:rsid w:val="00063744"/>
    <w:rsid w:val="000648AE"/>
    <w:rsid w:val="00065664"/>
    <w:rsid w:val="00075C7A"/>
    <w:rsid w:val="000836AE"/>
    <w:rsid w:val="000864D5"/>
    <w:rsid w:val="00091E5D"/>
    <w:rsid w:val="00095D60"/>
    <w:rsid w:val="00096538"/>
    <w:rsid w:val="000A276E"/>
    <w:rsid w:val="000A2EF4"/>
    <w:rsid w:val="000A5621"/>
    <w:rsid w:val="000B3EDB"/>
    <w:rsid w:val="000B67B3"/>
    <w:rsid w:val="000C0F31"/>
    <w:rsid w:val="000D4922"/>
    <w:rsid w:val="000D6B2E"/>
    <w:rsid w:val="000E0782"/>
    <w:rsid w:val="000E47D2"/>
    <w:rsid w:val="000E4FC2"/>
    <w:rsid w:val="00103072"/>
    <w:rsid w:val="001440AF"/>
    <w:rsid w:val="00146482"/>
    <w:rsid w:val="00147C1A"/>
    <w:rsid w:val="00150C0E"/>
    <w:rsid w:val="00162EF8"/>
    <w:rsid w:val="00167E01"/>
    <w:rsid w:val="0018137D"/>
    <w:rsid w:val="00196539"/>
    <w:rsid w:val="001A0C92"/>
    <w:rsid w:val="001A2134"/>
    <w:rsid w:val="001A60D3"/>
    <w:rsid w:val="001A727B"/>
    <w:rsid w:val="001B125E"/>
    <w:rsid w:val="001B1337"/>
    <w:rsid w:val="001B5D0A"/>
    <w:rsid w:val="001C1EB7"/>
    <w:rsid w:val="001C42DE"/>
    <w:rsid w:val="001C5C8D"/>
    <w:rsid w:val="001E03E4"/>
    <w:rsid w:val="001E04EC"/>
    <w:rsid w:val="001E2559"/>
    <w:rsid w:val="001E71D9"/>
    <w:rsid w:val="001F6CB5"/>
    <w:rsid w:val="00200230"/>
    <w:rsid w:val="00223C82"/>
    <w:rsid w:val="00225C06"/>
    <w:rsid w:val="002264D2"/>
    <w:rsid w:val="00234A47"/>
    <w:rsid w:val="00251D09"/>
    <w:rsid w:val="00262528"/>
    <w:rsid w:val="002653EE"/>
    <w:rsid w:val="00274938"/>
    <w:rsid w:val="0028452C"/>
    <w:rsid w:val="0028688B"/>
    <w:rsid w:val="002A2992"/>
    <w:rsid w:val="002B1B92"/>
    <w:rsid w:val="002B67FF"/>
    <w:rsid w:val="002D41CC"/>
    <w:rsid w:val="002E2026"/>
    <w:rsid w:val="002F6BCF"/>
    <w:rsid w:val="00300A4F"/>
    <w:rsid w:val="00301332"/>
    <w:rsid w:val="003206BE"/>
    <w:rsid w:val="00323B82"/>
    <w:rsid w:val="0033165F"/>
    <w:rsid w:val="003345C9"/>
    <w:rsid w:val="003539C8"/>
    <w:rsid w:val="003554E1"/>
    <w:rsid w:val="003619E9"/>
    <w:rsid w:val="00376B2A"/>
    <w:rsid w:val="00380D5A"/>
    <w:rsid w:val="0038598F"/>
    <w:rsid w:val="003870A4"/>
    <w:rsid w:val="0038791A"/>
    <w:rsid w:val="00397094"/>
    <w:rsid w:val="003A0598"/>
    <w:rsid w:val="003A34D3"/>
    <w:rsid w:val="003A3D90"/>
    <w:rsid w:val="003A5254"/>
    <w:rsid w:val="003B1865"/>
    <w:rsid w:val="003D3C7F"/>
    <w:rsid w:val="003D5B4E"/>
    <w:rsid w:val="003E081C"/>
    <w:rsid w:val="003F283C"/>
    <w:rsid w:val="003F6A52"/>
    <w:rsid w:val="00402EBC"/>
    <w:rsid w:val="00404217"/>
    <w:rsid w:val="004063EB"/>
    <w:rsid w:val="0041236F"/>
    <w:rsid w:val="0041288C"/>
    <w:rsid w:val="00412994"/>
    <w:rsid w:val="00413360"/>
    <w:rsid w:val="004146A4"/>
    <w:rsid w:val="004173D4"/>
    <w:rsid w:val="00435DB0"/>
    <w:rsid w:val="00441A3D"/>
    <w:rsid w:val="004472FD"/>
    <w:rsid w:val="0045035E"/>
    <w:rsid w:val="00462519"/>
    <w:rsid w:val="00467F49"/>
    <w:rsid w:val="00481301"/>
    <w:rsid w:val="004821A8"/>
    <w:rsid w:val="00493055"/>
    <w:rsid w:val="004A391A"/>
    <w:rsid w:val="004A6605"/>
    <w:rsid w:val="004B1F4B"/>
    <w:rsid w:val="004B24EA"/>
    <w:rsid w:val="004B2BBF"/>
    <w:rsid w:val="004E07BB"/>
    <w:rsid w:val="004E5736"/>
    <w:rsid w:val="00520862"/>
    <w:rsid w:val="00521766"/>
    <w:rsid w:val="00541F9C"/>
    <w:rsid w:val="005428CC"/>
    <w:rsid w:val="005562A8"/>
    <w:rsid w:val="005615F4"/>
    <w:rsid w:val="00563700"/>
    <w:rsid w:val="00564008"/>
    <w:rsid w:val="00566DCF"/>
    <w:rsid w:val="00570C33"/>
    <w:rsid w:val="00591F9B"/>
    <w:rsid w:val="00593F7A"/>
    <w:rsid w:val="0059516E"/>
    <w:rsid w:val="00597327"/>
    <w:rsid w:val="005A759C"/>
    <w:rsid w:val="005B01A6"/>
    <w:rsid w:val="005C4AA8"/>
    <w:rsid w:val="005C5117"/>
    <w:rsid w:val="005D0A07"/>
    <w:rsid w:val="005D51BD"/>
    <w:rsid w:val="005E64FB"/>
    <w:rsid w:val="006040A9"/>
    <w:rsid w:val="00610869"/>
    <w:rsid w:val="00615F31"/>
    <w:rsid w:val="00621BC4"/>
    <w:rsid w:val="006316A8"/>
    <w:rsid w:val="006330CD"/>
    <w:rsid w:val="00633E4E"/>
    <w:rsid w:val="006355E4"/>
    <w:rsid w:val="0063738A"/>
    <w:rsid w:val="00651452"/>
    <w:rsid w:val="006579B5"/>
    <w:rsid w:val="00657C95"/>
    <w:rsid w:val="00664555"/>
    <w:rsid w:val="00664DC4"/>
    <w:rsid w:val="00666771"/>
    <w:rsid w:val="006702B4"/>
    <w:rsid w:val="0067368C"/>
    <w:rsid w:val="006812E4"/>
    <w:rsid w:val="006A1AA1"/>
    <w:rsid w:val="006A2FC0"/>
    <w:rsid w:val="006C3533"/>
    <w:rsid w:val="006C6A73"/>
    <w:rsid w:val="006D6744"/>
    <w:rsid w:val="006D7252"/>
    <w:rsid w:val="006E28C3"/>
    <w:rsid w:val="006E773F"/>
    <w:rsid w:val="006E7CB5"/>
    <w:rsid w:val="007003E5"/>
    <w:rsid w:val="0072119C"/>
    <w:rsid w:val="007277FE"/>
    <w:rsid w:val="00737159"/>
    <w:rsid w:val="00741C37"/>
    <w:rsid w:val="007433B1"/>
    <w:rsid w:val="007540A9"/>
    <w:rsid w:val="007718E9"/>
    <w:rsid w:val="00775DD6"/>
    <w:rsid w:val="00777657"/>
    <w:rsid w:val="007813E9"/>
    <w:rsid w:val="00784703"/>
    <w:rsid w:val="007864E8"/>
    <w:rsid w:val="0078777A"/>
    <w:rsid w:val="00797DA8"/>
    <w:rsid w:val="007C06C3"/>
    <w:rsid w:val="007D3F1A"/>
    <w:rsid w:val="007D54E2"/>
    <w:rsid w:val="007E5005"/>
    <w:rsid w:val="007F371A"/>
    <w:rsid w:val="007F4047"/>
    <w:rsid w:val="008062DF"/>
    <w:rsid w:val="008113AD"/>
    <w:rsid w:val="0081358E"/>
    <w:rsid w:val="0081797A"/>
    <w:rsid w:val="008206F3"/>
    <w:rsid w:val="00821B08"/>
    <w:rsid w:val="00821F66"/>
    <w:rsid w:val="0083130F"/>
    <w:rsid w:val="0085338E"/>
    <w:rsid w:val="00857609"/>
    <w:rsid w:val="00861DDF"/>
    <w:rsid w:val="00874BBE"/>
    <w:rsid w:val="00884939"/>
    <w:rsid w:val="008861FD"/>
    <w:rsid w:val="00887849"/>
    <w:rsid w:val="008A088B"/>
    <w:rsid w:val="008D21A4"/>
    <w:rsid w:val="008D332F"/>
    <w:rsid w:val="008D6F38"/>
    <w:rsid w:val="008D7802"/>
    <w:rsid w:val="008E0B89"/>
    <w:rsid w:val="008E3C36"/>
    <w:rsid w:val="008F1D26"/>
    <w:rsid w:val="00902D17"/>
    <w:rsid w:val="009153C3"/>
    <w:rsid w:val="00933292"/>
    <w:rsid w:val="0093539E"/>
    <w:rsid w:val="009441A5"/>
    <w:rsid w:val="0096514A"/>
    <w:rsid w:val="00972402"/>
    <w:rsid w:val="009736B0"/>
    <w:rsid w:val="009841EE"/>
    <w:rsid w:val="0098536D"/>
    <w:rsid w:val="00987AF9"/>
    <w:rsid w:val="00990B22"/>
    <w:rsid w:val="00992B80"/>
    <w:rsid w:val="00993570"/>
    <w:rsid w:val="009974C1"/>
    <w:rsid w:val="009A039E"/>
    <w:rsid w:val="009A04F5"/>
    <w:rsid w:val="009A673B"/>
    <w:rsid w:val="009A69AF"/>
    <w:rsid w:val="009B1D72"/>
    <w:rsid w:val="009B4ABC"/>
    <w:rsid w:val="009C6630"/>
    <w:rsid w:val="009D299A"/>
    <w:rsid w:val="009D798C"/>
    <w:rsid w:val="009E6117"/>
    <w:rsid w:val="009F09FB"/>
    <w:rsid w:val="00A03071"/>
    <w:rsid w:val="00A0357D"/>
    <w:rsid w:val="00A157D1"/>
    <w:rsid w:val="00A22BD4"/>
    <w:rsid w:val="00A24C02"/>
    <w:rsid w:val="00A30865"/>
    <w:rsid w:val="00A328F3"/>
    <w:rsid w:val="00A43CD5"/>
    <w:rsid w:val="00A464E4"/>
    <w:rsid w:val="00A51651"/>
    <w:rsid w:val="00A52D52"/>
    <w:rsid w:val="00A56930"/>
    <w:rsid w:val="00A6649C"/>
    <w:rsid w:val="00A675F4"/>
    <w:rsid w:val="00A805EF"/>
    <w:rsid w:val="00A80F83"/>
    <w:rsid w:val="00A828A1"/>
    <w:rsid w:val="00A92068"/>
    <w:rsid w:val="00A964A5"/>
    <w:rsid w:val="00AA248C"/>
    <w:rsid w:val="00AC4CBF"/>
    <w:rsid w:val="00AD1DD5"/>
    <w:rsid w:val="00AE0A4F"/>
    <w:rsid w:val="00AF5F24"/>
    <w:rsid w:val="00B0325A"/>
    <w:rsid w:val="00B2019F"/>
    <w:rsid w:val="00B223FB"/>
    <w:rsid w:val="00B24A67"/>
    <w:rsid w:val="00B24FD0"/>
    <w:rsid w:val="00B35DAA"/>
    <w:rsid w:val="00B4238B"/>
    <w:rsid w:val="00B460BB"/>
    <w:rsid w:val="00B51EFD"/>
    <w:rsid w:val="00B5308E"/>
    <w:rsid w:val="00B540EB"/>
    <w:rsid w:val="00B6106C"/>
    <w:rsid w:val="00B61568"/>
    <w:rsid w:val="00B65620"/>
    <w:rsid w:val="00B71D2F"/>
    <w:rsid w:val="00B81F0F"/>
    <w:rsid w:val="00B969D3"/>
    <w:rsid w:val="00BA180F"/>
    <w:rsid w:val="00BA5950"/>
    <w:rsid w:val="00BB58D1"/>
    <w:rsid w:val="00BC0D4A"/>
    <w:rsid w:val="00BC37E3"/>
    <w:rsid w:val="00BC4F40"/>
    <w:rsid w:val="00BD33C4"/>
    <w:rsid w:val="00BE49AD"/>
    <w:rsid w:val="00C03A1D"/>
    <w:rsid w:val="00C15CD6"/>
    <w:rsid w:val="00C219F7"/>
    <w:rsid w:val="00C253ED"/>
    <w:rsid w:val="00C320B2"/>
    <w:rsid w:val="00C3719D"/>
    <w:rsid w:val="00C4014A"/>
    <w:rsid w:val="00C54076"/>
    <w:rsid w:val="00C57863"/>
    <w:rsid w:val="00C6659C"/>
    <w:rsid w:val="00C6764D"/>
    <w:rsid w:val="00C90CCB"/>
    <w:rsid w:val="00CA0AB3"/>
    <w:rsid w:val="00CA3F42"/>
    <w:rsid w:val="00CA7D29"/>
    <w:rsid w:val="00CB5083"/>
    <w:rsid w:val="00CC00D6"/>
    <w:rsid w:val="00CC1050"/>
    <w:rsid w:val="00CC5DC9"/>
    <w:rsid w:val="00CC642A"/>
    <w:rsid w:val="00CD51B7"/>
    <w:rsid w:val="00CE1D99"/>
    <w:rsid w:val="00CE3BDE"/>
    <w:rsid w:val="00CF143F"/>
    <w:rsid w:val="00D0142B"/>
    <w:rsid w:val="00D0515F"/>
    <w:rsid w:val="00D24FCD"/>
    <w:rsid w:val="00D41997"/>
    <w:rsid w:val="00D45D1D"/>
    <w:rsid w:val="00D6692F"/>
    <w:rsid w:val="00D70392"/>
    <w:rsid w:val="00D719E8"/>
    <w:rsid w:val="00D770EF"/>
    <w:rsid w:val="00D91792"/>
    <w:rsid w:val="00D94960"/>
    <w:rsid w:val="00DA3E43"/>
    <w:rsid w:val="00DB04A2"/>
    <w:rsid w:val="00DB31AA"/>
    <w:rsid w:val="00DB49E8"/>
    <w:rsid w:val="00DB5DC3"/>
    <w:rsid w:val="00DC3177"/>
    <w:rsid w:val="00DC3444"/>
    <w:rsid w:val="00DD6841"/>
    <w:rsid w:val="00DE32F7"/>
    <w:rsid w:val="00DE6B0C"/>
    <w:rsid w:val="00DF0DC6"/>
    <w:rsid w:val="00E213C5"/>
    <w:rsid w:val="00E3168E"/>
    <w:rsid w:val="00E35E15"/>
    <w:rsid w:val="00E504EB"/>
    <w:rsid w:val="00E53C39"/>
    <w:rsid w:val="00E57BDF"/>
    <w:rsid w:val="00E63724"/>
    <w:rsid w:val="00E93FB1"/>
    <w:rsid w:val="00E94C03"/>
    <w:rsid w:val="00EA41EA"/>
    <w:rsid w:val="00EC1F06"/>
    <w:rsid w:val="00EC3533"/>
    <w:rsid w:val="00EC35F7"/>
    <w:rsid w:val="00EC4DFA"/>
    <w:rsid w:val="00ED7582"/>
    <w:rsid w:val="00ED7D62"/>
    <w:rsid w:val="00EE49E2"/>
    <w:rsid w:val="00EE5BEC"/>
    <w:rsid w:val="00EF287F"/>
    <w:rsid w:val="00F007B6"/>
    <w:rsid w:val="00F077EA"/>
    <w:rsid w:val="00F10D3E"/>
    <w:rsid w:val="00F251A8"/>
    <w:rsid w:val="00F27312"/>
    <w:rsid w:val="00F51ABB"/>
    <w:rsid w:val="00F677EA"/>
    <w:rsid w:val="00F72896"/>
    <w:rsid w:val="00F831EB"/>
    <w:rsid w:val="00F83EDB"/>
    <w:rsid w:val="00F87A79"/>
    <w:rsid w:val="00F97C3C"/>
    <w:rsid w:val="00FA7E50"/>
    <w:rsid w:val="00FB6682"/>
    <w:rsid w:val="00FC0A3C"/>
    <w:rsid w:val="00FD2953"/>
    <w:rsid w:val="00FE5139"/>
    <w:rsid w:val="00FE6B21"/>
    <w:rsid w:val="00FF75C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3E89F"/>
  <w15:docId w15:val="{79D28B29-5502-4DE1-858D-F2928951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B5D0A"/>
    <w:pPr>
      <w:ind w:left="720"/>
      <w:contextualSpacing/>
    </w:pPr>
  </w:style>
  <w:style w:type="character" w:styleId="Hyperlink">
    <w:name w:val="Hyperlink"/>
    <w:basedOn w:val="Absatz-Standardschriftart"/>
    <w:uiPriority w:val="99"/>
    <w:unhideWhenUsed/>
    <w:rsid w:val="00FD2953"/>
    <w:rPr>
      <w:color w:val="0000FF"/>
      <w:u w:val="single"/>
    </w:rPr>
  </w:style>
  <w:style w:type="paragraph" w:styleId="Kopfzeile">
    <w:name w:val="header"/>
    <w:basedOn w:val="Standard"/>
    <w:link w:val="KopfzeileZchn"/>
    <w:uiPriority w:val="99"/>
    <w:unhideWhenUsed/>
    <w:rsid w:val="008D6F38"/>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8D6F38"/>
  </w:style>
  <w:style w:type="paragraph" w:styleId="Fuzeile">
    <w:name w:val="footer"/>
    <w:basedOn w:val="Standard"/>
    <w:link w:val="FuzeileZchn"/>
    <w:uiPriority w:val="99"/>
    <w:unhideWhenUsed/>
    <w:rsid w:val="008D6F38"/>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8D6F38"/>
  </w:style>
  <w:style w:type="character" w:styleId="NichtaufgelsteErwhnung">
    <w:name w:val="Unresolved Mention"/>
    <w:basedOn w:val="Absatz-Standardschriftart"/>
    <w:uiPriority w:val="99"/>
    <w:semiHidden/>
    <w:unhideWhenUsed/>
    <w:rsid w:val="008D6F38"/>
    <w:rPr>
      <w:color w:val="605E5C"/>
      <w:shd w:val="clear" w:color="auto" w:fill="E1DFDD"/>
    </w:rPr>
  </w:style>
  <w:style w:type="paragraph" w:styleId="StandardWeb">
    <w:name w:val="Normal (Web)"/>
    <w:basedOn w:val="Standard"/>
    <w:uiPriority w:val="99"/>
    <w:semiHidden/>
    <w:unhideWhenUsed/>
    <w:rsid w:val="00003B28"/>
    <w:pPr>
      <w:spacing w:before="100" w:beforeAutospacing="1" w:after="100" w:afterAutospacing="1" w:line="240" w:lineRule="auto"/>
    </w:pPr>
    <w:rPr>
      <w:rFonts w:ascii="Times New Roman" w:eastAsia="Times New Roman" w:hAnsi="Times New Roman" w:cs="Times New Roman"/>
      <w:sz w:val="24"/>
      <w:szCs w:val="24"/>
      <w14:ligatures w14:val="none"/>
    </w:rPr>
  </w:style>
  <w:style w:type="character" w:customStyle="1" w:styleId="referencestring-name">
    <w:name w:val="reference__string-name"/>
    <w:basedOn w:val="Absatz-Standardschriftart"/>
    <w:rsid w:val="00BA5950"/>
  </w:style>
  <w:style w:type="character" w:customStyle="1" w:styleId="referencesurname">
    <w:name w:val="reference__surname"/>
    <w:basedOn w:val="Absatz-Standardschriftart"/>
    <w:rsid w:val="00BA5950"/>
  </w:style>
  <w:style w:type="character" w:customStyle="1" w:styleId="referencegiven-names">
    <w:name w:val="reference__given-names"/>
    <w:basedOn w:val="Absatz-Standardschriftart"/>
    <w:rsid w:val="00BA5950"/>
  </w:style>
  <w:style w:type="character" w:customStyle="1" w:styleId="referenceyear">
    <w:name w:val="reference__year"/>
    <w:basedOn w:val="Absatz-Standardschriftart"/>
    <w:rsid w:val="00BA5950"/>
  </w:style>
  <w:style w:type="character" w:customStyle="1" w:styleId="referencearticle-title">
    <w:name w:val="reference__article-title"/>
    <w:basedOn w:val="Absatz-Standardschriftart"/>
    <w:rsid w:val="00BA5950"/>
  </w:style>
  <w:style w:type="character" w:customStyle="1" w:styleId="referencesource">
    <w:name w:val="reference__source"/>
    <w:basedOn w:val="Absatz-Standardschriftart"/>
    <w:rsid w:val="00BA5950"/>
  </w:style>
  <w:style w:type="character" w:customStyle="1" w:styleId="referencevolume">
    <w:name w:val="reference__volume"/>
    <w:basedOn w:val="Absatz-Standardschriftart"/>
    <w:rsid w:val="00BA5950"/>
  </w:style>
  <w:style w:type="character" w:customStyle="1" w:styleId="referenceissue">
    <w:name w:val="reference__issue"/>
    <w:basedOn w:val="Absatz-Standardschriftart"/>
    <w:rsid w:val="00BA5950"/>
  </w:style>
  <w:style w:type="character" w:customStyle="1" w:styleId="referencefpage">
    <w:name w:val="reference__fpage"/>
    <w:basedOn w:val="Absatz-Standardschriftart"/>
    <w:rsid w:val="00BA5950"/>
  </w:style>
  <w:style w:type="character" w:customStyle="1" w:styleId="referencelpage">
    <w:name w:val="reference__lpage"/>
    <w:basedOn w:val="Absatz-Standardschriftart"/>
    <w:rsid w:val="00BA5950"/>
  </w:style>
  <w:style w:type="character" w:customStyle="1" w:styleId="ssbf">
    <w:name w:val="ss_bf"/>
    <w:basedOn w:val="Absatz-Standardschriftart"/>
    <w:rsid w:val="00234A47"/>
  </w:style>
  <w:style w:type="character" w:customStyle="1" w:styleId="sssh">
    <w:name w:val="ss_sh"/>
    <w:basedOn w:val="Absatz-Standardschriftart"/>
    <w:rsid w:val="00234A47"/>
  </w:style>
  <w:style w:type="character" w:customStyle="1" w:styleId="ssit">
    <w:name w:val="ss_it"/>
    <w:basedOn w:val="Absatz-Standardschriftart"/>
    <w:rsid w:val="00234A47"/>
  </w:style>
  <w:style w:type="table" w:styleId="Tabellenraster">
    <w:name w:val="Table Grid"/>
    <w:basedOn w:val="NormaleTabelle"/>
    <w:uiPriority w:val="39"/>
    <w:rsid w:val="00065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j-bold">
    <w:name w:val="oj-bold"/>
    <w:basedOn w:val="Absatz-Standardschriftart"/>
    <w:rsid w:val="000E4FC2"/>
  </w:style>
  <w:style w:type="character" w:customStyle="1" w:styleId="oj-italic">
    <w:name w:val="oj-italic"/>
    <w:basedOn w:val="Absatz-Standardschriftart"/>
    <w:rsid w:val="000E4FC2"/>
  </w:style>
  <w:style w:type="paragraph" w:customStyle="1" w:styleId="oj-ti-grseq-1">
    <w:name w:val="oj-ti-grseq-1"/>
    <w:basedOn w:val="Standard"/>
    <w:rsid w:val="009A039E"/>
    <w:pPr>
      <w:spacing w:before="100" w:beforeAutospacing="1" w:after="100" w:afterAutospacing="1" w:line="240" w:lineRule="auto"/>
    </w:pPr>
    <w:rPr>
      <w:rFonts w:ascii="Times New Roman" w:eastAsia="Times New Roman" w:hAnsi="Times New Roman" w:cs="Times New Roman"/>
      <w:sz w:val="24"/>
      <w:szCs w:val="24"/>
      <w14:ligatures w14:val="none"/>
    </w:rPr>
  </w:style>
  <w:style w:type="paragraph" w:customStyle="1" w:styleId="oj-normal">
    <w:name w:val="oj-normal"/>
    <w:basedOn w:val="Standard"/>
    <w:rsid w:val="009A039E"/>
    <w:pPr>
      <w:spacing w:before="100" w:beforeAutospacing="1" w:after="100" w:afterAutospacing="1" w:line="240" w:lineRule="auto"/>
    </w:pPr>
    <w:rPr>
      <w:rFonts w:ascii="Times New Roman" w:eastAsia="Times New Roman" w:hAnsi="Times New Roman" w:cs="Times New Roman"/>
      <w:sz w:val="24"/>
      <w:szCs w:val="24"/>
      <w14:ligatures w14:val="none"/>
    </w:rPr>
  </w:style>
  <w:style w:type="character" w:customStyle="1" w:styleId="oj-super">
    <w:name w:val="oj-super"/>
    <w:basedOn w:val="Absatz-Standardschriftart"/>
    <w:rsid w:val="00A46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00480">
      <w:bodyDiv w:val="1"/>
      <w:marLeft w:val="0"/>
      <w:marRight w:val="0"/>
      <w:marTop w:val="0"/>
      <w:marBottom w:val="0"/>
      <w:divBdr>
        <w:top w:val="none" w:sz="0" w:space="0" w:color="auto"/>
        <w:left w:val="none" w:sz="0" w:space="0" w:color="auto"/>
        <w:bottom w:val="none" w:sz="0" w:space="0" w:color="auto"/>
        <w:right w:val="none" w:sz="0" w:space="0" w:color="auto"/>
      </w:divBdr>
    </w:div>
    <w:div w:id="318265751">
      <w:bodyDiv w:val="1"/>
      <w:marLeft w:val="0"/>
      <w:marRight w:val="0"/>
      <w:marTop w:val="0"/>
      <w:marBottom w:val="0"/>
      <w:divBdr>
        <w:top w:val="none" w:sz="0" w:space="0" w:color="auto"/>
        <w:left w:val="none" w:sz="0" w:space="0" w:color="auto"/>
        <w:bottom w:val="none" w:sz="0" w:space="0" w:color="auto"/>
        <w:right w:val="none" w:sz="0" w:space="0" w:color="auto"/>
      </w:divBdr>
      <w:divsChild>
        <w:div w:id="316106587">
          <w:marLeft w:val="0"/>
          <w:marRight w:val="0"/>
          <w:marTop w:val="0"/>
          <w:marBottom w:val="0"/>
          <w:divBdr>
            <w:top w:val="single" w:sz="2" w:space="0" w:color="D9D9E3"/>
            <w:left w:val="single" w:sz="2" w:space="0" w:color="D9D9E3"/>
            <w:bottom w:val="single" w:sz="2" w:space="0" w:color="D9D9E3"/>
            <w:right w:val="single" w:sz="2" w:space="0" w:color="D9D9E3"/>
          </w:divBdr>
          <w:divsChild>
            <w:div w:id="810362479">
              <w:marLeft w:val="0"/>
              <w:marRight w:val="0"/>
              <w:marTop w:val="100"/>
              <w:marBottom w:val="100"/>
              <w:divBdr>
                <w:top w:val="single" w:sz="2" w:space="0" w:color="D9D9E3"/>
                <w:left w:val="single" w:sz="2" w:space="0" w:color="D9D9E3"/>
                <w:bottom w:val="single" w:sz="2" w:space="0" w:color="D9D9E3"/>
                <w:right w:val="single" w:sz="2" w:space="0" w:color="D9D9E3"/>
              </w:divBdr>
              <w:divsChild>
                <w:div w:id="1744913337">
                  <w:marLeft w:val="0"/>
                  <w:marRight w:val="0"/>
                  <w:marTop w:val="0"/>
                  <w:marBottom w:val="0"/>
                  <w:divBdr>
                    <w:top w:val="single" w:sz="2" w:space="0" w:color="D9D9E3"/>
                    <w:left w:val="single" w:sz="2" w:space="0" w:color="D9D9E3"/>
                    <w:bottom w:val="single" w:sz="2" w:space="0" w:color="D9D9E3"/>
                    <w:right w:val="single" w:sz="2" w:space="0" w:color="D9D9E3"/>
                  </w:divBdr>
                  <w:divsChild>
                    <w:div w:id="586305975">
                      <w:marLeft w:val="0"/>
                      <w:marRight w:val="0"/>
                      <w:marTop w:val="0"/>
                      <w:marBottom w:val="0"/>
                      <w:divBdr>
                        <w:top w:val="single" w:sz="2" w:space="0" w:color="D9D9E3"/>
                        <w:left w:val="single" w:sz="2" w:space="0" w:color="D9D9E3"/>
                        <w:bottom w:val="single" w:sz="2" w:space="0" w:color="D9D9E3"/>
                        <w:right w:val="single" w:sz="2" w:space="0" w:color="D9D9E3"/>
                      </w:divBdr>
                      <w:divsChild>
                        <w:div w:id="521558080">
                          <w:marLeft w:val="0"/>
                          <w:marRight w:val="0"/>
                          <w:marTop w:val="0"/>
                          <w:marBottom w:val="0"/>
                          <w:divBdr>
                            <w:top w:val="single" w:sz="2" w:space="0" w:color="D9D9E3"/>
                            <w:left w:val="single" w:sz="2" w:space="0" w:color="D9D9E3"/>
                            <w:bottom w:val="single" w:sz="2" w:space="0" w:color="D9D9E3"/>
                            <w:right w:val="single" w:sz="2" w:space="0" w:color="D9D9E3"/>
                          </w:divBdr>
                          <w:divsChild>
                            <w:div w:id="1629621703">
                              <w:marLeft w:val="0"/>
                              <w:marRight w:val="0"/>
                              <w:marTop w:val="0"/>
                              <w:marBottom w:val="0"/>
                              <w:divBdr>
                                <w:top w:val="single" w:sz="2" w:space="0" w:color="D9D9E3"/>
                                <w:left w:val="single" w:sz="2" w:space="0" w:color="D9D9E3"/>
                                <w:bottom w:val="single" w:sz="2" w:space="0" w:color="D9D9E3"/>
                                <w:right w:val="single" w:sz="2" w:space="0" w:color="D9D9E3"/>
                              </w:divBdr>
                              <w:divsChild>
                                <w:div w:id="234046895">
                                  <w:marLeft w:val="0"/>
                                  <w:marRight w:val="0"/>
                                  <w:marTop w:val="0"/>
                                  <w:marBottom w:val="0"/>
                                  <w:divBdr>
                                    <w:top w:val="single" w:sz="2" w:space="0" w:color="D9D9E3"/>
                                    <w:left w:val="single" w:sz="2" w:space="0" w:color="D9D9E3"/>
                                    <w:bottom w:val="single" w:sz="2" w:space="0" w:color="D9D9E3"/>
                                    <w:right w:val="single" w:sz="2" w:space="0" w:color="D9D9E3"/>
                                  </w:divBdr>
                                  <w:divsChild>
                                    <w:div w:id="20769331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10363063">
      <w:bodyDiv w:val="1"/>
      <w:marLeft w:val="0"/>
      <w:marRight w:val="0"/>
      <w:marTop w:val="0"/>
      <w:marBottom w:val="0"/>
      <w:divBdr>
        <w:top w:val="none" w:sz="0" w:space="0" w:color="auto"/>
        <w:left w:val="none" w:sz="0" w:space="0" w:color="auto"/>
        <w:bottom w:val="none" w:sz="0" w:space="0" w:color="auto"/>
        <w:right w:val="none" w:sz="0" w:space="0" w:color="auto"/>
      </w:divBdr>
    </w:div>
    <w:div w:id="666059037">
      <w:bodyDiv w:val="1"/>
      <w:marLeft w:val="0"/>
      <w:marRight w:val="0"/>
      <w:marTop w:val="0"/>
      <w:marBottom w:val="0"/>
      <w:divBdr>
        <w:top w:val="none" w:sz="0" w:space="0" w:color="auto"/>
        <w:left w:val="none" w:sz="0" w:space="0" w:color="auto"/>
        <w:bottom w:val="none" w:sz="0" w:space="0" w:color="auto"/>
        <w:right w:val="none" w:sz="0" w:space="0" w:color="auto"/>
      </w:divBdr>
      <w:divsChild>
        <w:div w:id="345837414">
          <w:marLeft w:val="792"/>
          <w:marRight w:val="0"/>
          <w:marTop w:val="240"/>
          <w:marBottom w:val="0"/>
          <w:divBdr>
            <w:top w:val="none" w:sz="0" w:space="0" w:color="auto"/>
            <w:left w:val="none" w:sz="0" w:space="0" w:color="auto"/>
            <w:bottom w:val="none" w:sz="0" w:space="0" w:color="auto"/>
            <w:right w:val="none" w:sz="0" w:space="0" w:color="auto"/>
          </w:divBdr>
        </w:div>
        <w:div w:id="449131050">
          <w:marLeft w:val="792"/>
          <w:marRight w:val="0"/>
          <w:marTop w:val="240"/>
          <w:marBottom w:val="0"/>
          <w:divBdr>
            <w:top w:val="none" w:sz="0" w:space="0" w:color="auto"/>
            <w:left w:val="none" w:sz="0" w:space="0" w:color="auto"/>
            <w:bottom w:val="none" w:sz="0" w:space="0" w:color="auto"/>
            <w:right w:val="none" w:sz="0" w:space="0" w:color="auto"/>
          </w:divBdr>
        </w:div>
        <w:div w:id="540558561">
          <w:marLeft w:val="475"/>
          <w:marRight w:val="0"/>
          <w:marTop w:val="240"/>
          <w:marBottom w:val="0"/>
          <w:divBdr>
            <w:top w:val="none" w:sz="0" w:space="0" w:color="auto"/>
            <w:left w:val="none" w:sz="0" w:space="0" w:color="auto"/>
            <w:bottom w:val="none" w:sz="0" w:space="0" w:color="auto"/>
            <w:right w:val="none" w:sz="0" w:space="0" w:color="auto"/>
          </w:divBdr>
        </w:div>
        <w:div w:id="818766632">
          <w:marLeft w:val="475"/>
          <w:marRight w:val="0"/>
          <w:marTop w:val="240"/>
          <w:marBottom w:val="0"/>
          <w:divBdr>
            <w:top w:val="none" w:sz="0" w:space="0" w:color="auto"/>
            <w:left w:val="none" w:sz="0" w:space="0" w:color="auto"/>
            <w:bottom w:val="none" w:sz="0" w:space="0" w:color="auto"/>
            <w:right w:val="none" w:sz="0" w:space="0" w:color="auto"/>
          </w:divBdr>
        </w:div>
        <w:div w:id="940071143">
          <w:marLeft w:val="792"/>
          <w:marRight w:val="0"/>
          <w:marTop w:val="240"/>
          <w:marBottom w:val="0"/>
          <w:divBdr>
            <w:top w:val="none" w:sz="0" w:space="0" w:color="auto"/>
            <w:left w:val="none" w:sz="0" w:space="0" w:color="auto"/>
            <w:bottom w:val="none" w:sz="0" w:space="0" w:color="auto"/>
            <w:right w:val="none" w:sz="0" w:space="0" w:color="auto"/>
          </w:divBdr>
        </w:div>
        <w:div w:id="1573078286">
          <w:marLeft w:val="475"/>
          <w:marRight w:val="0"/>
          <w:marTop w:val="240"/>
          <w:marBottom w:val="0"/>
          <w:divBdr>
            <w:top w:val="none" w:sz="0" w:space="0" w:color="auto"/>
            <w:left w:val="none" w:sz="0" w:space="0" w:color="auto"/>
            <w:bottom w:val="none" w:sz="0" w:space="0" w:color="auto"/>
            <w:right w:val="none" w:sz="0" w:space="0" w:color="auto"/>
          </w:divBdr>
        </w:div>
        <w:div w:id="1654606069">
          <w:marLeft w:val="475"/>
          <w:marRight w:val="0"/>
          <w:marTop w:val="240"/>
          <w:marBottom w:val="0"/>
          <w:divBdr>
            <w:top w:val="none" w:sz="0" w:space="0" w:color="auto"/>
            <w:left w:val="none" w:sz="0" w:space="0" w:color="auto"/>
            <w:bottom w:val="none" w:sz="0" w:space="0" w:color="auto"/>
            <w:right w:val="none" w:sz="0" w:space="0" w:color="auto"/>
          </w:divBdr>
        </w:div>
        <w:div w:id="1689485255">
          <w:marLeft w:val="475"/>
          <w:marRight w:val="0"/>
          <w:marTop w:val="240"/>
          <w:marBottom w:val="0"/>
          <w:divBdr>
            <w:top w:val="none" w:sz="0" w:space="0" w:color="auto"/>
            <w:left w:val="none" w:sz="0" w:space="0" w:color="auto"/>
            <w:bottom w:val="none" w:sz="0" w:space="0" w:color="auto"/>
            <w:right w:val="none" w:sz="0" w:space="0" w:color="auto"/>
          </w:divBdr>
        </w:div>
        <w:div w:id="2105803614">
          <w:marLeft w:val="792"/>
          <w:marRight w:val="0"/>
          <w:marTop w:val="240"/>
          <w:marBottom w:val="0"/>
          <w:divBdr>
            <w:top w:val="none" w:sz="0" w:space="0" w:color="auto"/>
            <w:left w:val="none" w:sz="0" w:space="0" w:color="auto"/>
            <w:bottom w:val="none" w:sz="0" w:space="0" w:color="auto"/>
            <w:right w:val="none" w:sz="0" w:space="0" w:color="auto"/>
          </w:divBdr>
        </w:div>
      </w:divsChild>
    </w:div>
    <w:div w:id="673073634">
      <w:bodyDiv w:val="1"/>
      <w:marLeft w:val="0"/>
      <w:marRight w:val="0"/>
      <w:marTop w:val="0"/>
      <w:marBottom w:val="0"/>
      <w:divBdr>
        <w:top w:val="none" w:sz="0" w:space="0" w:color="auto"/>
        <w:left w:val="none" w:sz="0" w:space="0" w:color="auto"/>
        <w:bottom w:val="none" w:sz="0" w:space="0" w:color="auto"/>
        <w:right w:val="none" w:sz="0" w:space="0" w:color="auto"/>
      </w:divBdr>
    </w:div>
    <w:div w:id="734402405">
      <w:bodyDiv w:val="1"/>
      <w:marLeft w:val="0"/>
      <w:marRight w:val="0"/>
      <w:marTop w:val="0"/>
      <w:marBottom w:val="0"/>
      <w:divBdr>
        <w:top w:val="none" w:sz="0" w:space="0" w:color="auto"/>
        <w:left w:val="none" w:sz="0" w:space="0" w:color="auto"/>
        <w:bottom w:val="none" w:sz="0" w:space="0" w:color="auto"/>
        <w:right w:val="none" w:sz="0" w:space="0" w:color="auto"/>
      </w:divBdr>
      <w:divsChild>
        <w:div w:id="275647396">
          <w:marLeft w:val="0"/>
          <w:marRight w:val="0"/>
          <w:marTop w:val="0"/>
          <w:marBottom w:val="0"/>
          <w:divBdr>
            <w:top w:val="none" w:sz="0" w:space="0" w:color="auto"/>
            <w:left w:val="none" w:sz="0" w:space="0" w:color="auto"/>
            <w:bottom w:val="none" w:sz="0" w:space="0" w:color="auto"/>
            <w:right w:val="none" w:sz="0" w:space="0" w:color="auto"/>
          </w:divBdr>
        </w:div>
        <w:div w:id="1590430633">
          <w:marLeft w:val="0"/>
          <w:marRight w:val="0"/>
          <w:marTop w:val="0"/>
          <w:marBottom w:val="0"/>
          <w:divBdr>
            <w:top w:val="single" w:sz="2" w:space="0" w:color="D9D9E3"/>
            <w:left w:val="single" w:sz="2" w:space="0" w:color="D9D9E3"/>
            <w:bottom w:val="single" w:sz="2" w:space="0" w:color="D9D9E3"/>
            <w:right w:val="single" w:sz="2" w:space="0" w:color="D9D9E3"/>
          </w:divBdr>
          <w:divsChild>
            <w:div w:id="56098895">
              <w:marLeft w:val="0"/>
              <w:marRight w:val="0"/>
              <w:marTop w:val="0"/>
              <w:marBottom w:val="0"/>
              <w:divBdr>
                <w:top w:val="single" w:sz="2" w:space="0" w:color="D9D9E3"/>
                <w:left w:val="single" w:sz="2" w:space="0" w:color="D9D9E3"/>
                <w:bottom w:val="single" w:sz="2" w:space="0" w:color="D9D9E3"/>
                <w:right w:val="single" w:sz="2" w:space="0" w:color="D9D9E3"/>
              </w:divBdr>
              <w:divsChild>
                <w:div w:id="1775320412">
                  <w:marLeft w:val="0"/>
                  <w:marRight w:val="0"/>
                  <w:marTop w:val="0"/>
                  <w:marBottom w:val="0"/>
                  <w:divBdr>
                    <w:top w:val="single" w:sz="2" w:space="0" w:color="D9D9E3"/>
                    <w:left w:val="single" w:sz="2" w:space="0" w:color="D9D9E3"/>
                    <w:bottom w:val="single" w:sz="2" w:space="0" w:color="D9D9E3"/>
                    <w:right w:val="single" w:sz="2" w:space="0" w:color="D9D9E3"/>
                  </w:divBdr>
                  <w:divsChild>
                    <w:div w:id="44179291">
                      <w:marLeft w:val="0"/>
                      <w:marRight w:val="0"/>
                      <w:marTop w:val="0"/>
                      <w:marBottom w:val="0"/>
                      <w:divBdr>
                        <w:top w:val="single" w:sz="2" w:space="0" w:color="D9D9E3"/>
                        <w:left w:val="single" w:sz="2" w:space="0" w:color="D9D9E3"/>
                        <w:bottom w:val="single" w:sz="2" w:space="0" w:color="D9D9E3"/>
                        <w:right w:val="single" w:sz="2" w:space="0" w:color="D9D9E3"/>
                      </w:divBdr>
                      <w:divsChild>
                        <w:div w:id="209999538">
                          <w:marLeft w:val="0"/>
                          <w:marRight w:val="0"/>
                          <w:marTop w:val="0"/>
                          <w:marBottom w:val="0"/>
                          <w:divBdr>
                            <w:top w:val="single" w:sz="2" w:space="0" w:color="D9D9E3"/>
                            <w:left w:val="single" w:sz="2" w:space="0" w:color="D9D9E3"/>
                            <w:bottom w:val="single" w:sz="2" w:space="0" w:color="D9D9E3"/>
                            <w:right w:val="single" w:sz="2" w:space="0" w:color="D9D9E3"/>
                          </w:divBdr>
                          <w:divsChild>
                            <w:div w:id="514424614">
                              <w:marLeft w:val="0"/>
                              <w:marRight w:val="0"/>
                              <w:marTop w:val="100"/>
                              <w:marBottom w:val="100"/>
                              <w:divBdr>
                                <w:top w:val="single" w:sz="2" w:space="0" w:color="D9D9E3"/>
                                <w:left w:val="single" w:sz="2" w:space="0" w:color="D9D9E3"/>
                                <w:bottom w:val="single" w:sz="2" w:space="0" w:color="D9D9E3"/>
                                <w:right w:val="single" w:sz="2" w:space="0" w:color="D9D9E3"/>
                              </w:divBdr>
                              <w:divsChild>
                                <w:div w:id="20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145436662">
                                      <w:marLeft w:val="0"/>
                                      <w:marRight w:val="0"/>
                                      <w:marTop w:val="0"/>
                                      <w:marBottom w:val="0"/>
                                      <w:divBdr>
                                        <w:top w:val="single" w:sz="2" w:space="0" w:color="D9D9E3"/>
                                        <w:left w:val="single" w:sz="2" w:space="0" w:color="D9D9E3"/>
                                        <w:bottom w:val="single" w:sz="2" w:space="0" w:color="D9D9E3"/>
                                        <w:right w:val="single" w:sz="2" w:space="0" w:color="D9D9E3"/>
                                      </w:divBdr>
                                      <w:divsChild>
                                        <w:div w:id="37750404">
                                          <w:marLeft w:val="0"/>
                                          <w:marRight w:val="0"/>
                                          <w:marTop w:val="0"/>
                                          <w:marBottom w:val="0"/>
                                          <w:divBdr>
                                            <w:top w:val="single" w:sz="2" w:space="0" w:color="D9D9E3"/>
                                            <w:left w:val="single" w:sz="2" w:space="0" w:color="D9D9E3"/>
                                            <w:bottom w:val="single" w:sz="2" w:space="0" w:color="D9D9E3"/>
                                            <w:right w:val="single" w:sz="2" w:space="0" w:color="D9D9E3"/>
                                          </w:divBdr>
                                          <w:divsChild>
                                            <w:div w:id="860818800">
                                              <w:marLeft w:val="0"/>
                                              <w:marRight w:val="0"/>
                                              <w:marTop w:val="0"/>
                                              <w:marBottom w:val="0"/>
                                              <w:divBdr>
                                                <w:top w:val="single" w:sz="2" w:space="0" w:color="D9D9E3"/>
                                                <w:left w:val="single" w:sz="2" w:space="0" w:color="D9D9E3"/>
                                                <w:bottom w:val="single" w:sz="2" w:space="0" w:color="D9D9E3"/>
                                                <w:right w:val="single" w:sz="2" w:space="0" w:color="D9D9E3"/>
                                              </w:divBdr>
                                              <w:divsChild>
                                                <w:div w:id="1664776906">
                                                  <w:marLeft w:val="0"/>
                                                  <w:marRight w:val="0"/>
                                                  <w:marTop w:val="0"/>
                                                  <w:marBottom w:val="0"/>
                                                  <w:divBdr>
                                                    <w:top w:val="single" w:sz="2" w:space="0" w:color="D9D9E3"/>
                                                    <w:left w:val="single" w:sz="2" w:space="0" w:color="D9D9E3"/>
                                                    <w:bottom w:val="single" w:sz="2" w:space="0" w:color="D9D9E3"/>
                                                    <w:right w:val="single" w:sz="2" w:space="0" w:color="D9D9E3"/>
                                                  </w:divBdr>
                                                  <w:divsChild>
                                                    <w:div w:id="264931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739208016">
      <w:bodyDiv w:val="1"/>
      <w:marLeft w:val="0"/>
      <w:marRight w:val="0"/>
      <w:marTop w:val="0"/>
      <w:marBottom w:val="0"/>
      <w:divBdr>
        <w:top w:val="none" w:sz="0" w:space="0" w:color="auto"/>
        <w:left w:val="none" w:sz="0" w:space="0" w:color="auto"/>
        <w:bottom w:val="none" w:sz="0" w:space="0" w:color="auto"/>
        <w:right w:val="none" w:sz="0" w:space="0" w:color="auto"/>
      </w:divBdr>
      <w:divsChild>
        <w:div w:id="1445419311">
          <w:marLeft w:val="0"/>
          <w:marRight w:val="0"/>
          <w:marTop w:val="0"/>
          <w:marBottom w:val="0"/>
          <w:divBdr>
            <w:top w:val="single" w:sz="2" w:space="0" w:color="D9D9E3"/>
            <w:left w:val="single" w:sz="2" w:space="0" w:color="D9D9E3"/>
            <w:bottom w:val="single" w:sz="2" w:space="0" w:color="D9D9E3"/>
            <w:right w:val="single" w:sz="2" w:space="0" w:color="D9D9E3"/>
          </w:divBdr>
          <w:divsChild>
            <w:div w:id="930234882">
              <w:marLeft w:val="0"/>
              <w:marRight w:val="0"/>
              <w:marTop w:val="0"/>
              <w:marBottom w:val="0"/>
              <w:divBdr>
                <w:top w:val="single" w:sz="2" w:space="0" w:color="D9D9E3"/>
                <w:left w:val="single" w:sz="2" w:space="0" w:color="D9D9E3"/>
                <w:bottom w:val="single" w:sz="2" w:space="0" w:color="D9D9E3"/>
                <w:right w:val="single" w:sz="2" w:space="0" w:color="D9D9E3"/>
              </w:divBdr>
              <w:divsChild>
                <w:div w:id="1794904023">
                  <w:marLeft w:val="0"/>
                  <w:marRight w:val="0"/>
                  <w:marTop w:val="0"/>
                  <w:marBottom w:val="0"/>
                  <w:divBdr>
                    <w:top w:val="single" w:sz="2" w:space="0" w:color="D9D9E3"/>
                    <w:left w:val="single" w:sz="2" w:space="0" w:color="D9D9E3"/>
                    <w:bottom w:val="single" w:sz="2" w:space="0" w:color="D9D9E3"/>
                    <w:right w:val="single" w:sz="2" w:space="0" w:color="D9D9E3"/>
                  </w:divBdr>
                  <w:divsChild>
                    <w:div w:id="1664891254">
                      <w:marLeft w:val="0"/>
                      <w:marRight w:val="0"/>
                      <w:marTop w:val="0"/>
                      <w:marBottom w:val="0"/>
                      <w:divBdr>
                        <w:top w:val="single" w:sz="2" w:space="0" w:color="D9D9E3"/>
                        <w:left w:val="single" w:sz="2" w:space="0" w:color="D9D9E3"/>
                        <w:bottom w:val="single" w:sz="2" w:space="0" w:color="D9D9E3"/>
                        <w:right w:val="single" w:sz="2" w:space="0" w:color="D9D9E3"/>
                      </w:divBdr>
                      <w:divsChild>
                        <w:div w:id="881752285">
                          <w:marLeft w:val="0"/>
                          <w:marRight w:val="0"/>
                          <w:marTop w:val="0"/>
                          <w:marBottom w:val="0"/>
                          <w:divBdr>
                            <w:top w:val="single" w:sz="2" w:space="0" w:color="D9D9E3"/>
                            <w:left w:val="single" w:sz="2" w:space="0" w:color="D9D9E3"/>
                            <w:bottom w:val="single" w:sz="2" w:space="0" w:color="D9D9E3"/>
                            <w:right w:val="single" w:sz="2" w:space="0" w:color="D9D9E3"/>
                          </w:divBdr>
                          <w:divsChild>
                            <w:div w:id="1998991978">
                              <w:marLeft w:val="0"/>
                              <w:marRight w:val="0"/>
                              <w:marTop w:val="100"/>
                              <w:marBottom w:val="100"/>
                              <w:divBdr>
                                <w:top w:val="single" w:sz="2" w:space="0" w:color="D9D9E3"/>
                                <w:left w:val="single" w:sz="2" w:space="0" w:color="D9D9E3"/>
                                <w:bottom w:val="single" w:sz="2" w:space="0" w:color="D9D9E3"/>
                                <w:right w:val="single" w:sz="2" w:space="0" w:color="D9D9E3"/>
                              </w:divBdr>
                              <w:divsChild>
                                <w:div w:id="1427533801">
                                  <w:marLeft w:val="0"/>
                                  <w:marRight w:val="0"/>
                                  <w:marTop w:val="0"/>
                                  <w:marBottom w:val="0"/>
                                  <w:divBdr>
                                    <w:top w:val="single" w:sz="2" w:space="0" w:color="D9D9E3"/>
                                    <w:left w:val="single" w:sz="2" w:space="0" w:color="D9D9E3"/>
                                    <w:bottom w:val="single" w:sz="2" w:space="0" w:color="D9D9E3"/>
                                    <w:right w:val="single" w:sz="2" w:space="0" w:color="D9D9E3"/>
                                  </w:divBdr>
                                  <w:divsChild>
                                    <w:div w:id="1085610842">
                                      <w:marLeft w:val="0"/>
                                      <w:marRight w:val="0"/>
                                      <w:marTop w:val="0"/>
                                      <w:marBottom w:val="0"/>
                                      <w:divBdr>
                                        <w:top w:val="single" w:sz="2" w:space="0" w:color="D9D9E3"/>
                                        <w:left w:val="single" w:sz="2" w:space="0" w:color="D9D9E3"/>
                                        <w:bottom w:val="single" w:sz="2" w:space="0" w:color="D9D9E3"/>
                                        <w:right w:val="single" w:sz="2" w:space="0" w:color="D9D9E3"/>
                                      </w:divBdr>
                                      <w:divsChild>
                                        <w:div w:id="1953127682">
                                          <w:marLeft w:val="0"/>
                                          <w:marRight w:val="0"/>
                                          <w:marTop w:val="0"/>
                                          <w:marBottom w:val="0"/>
                                          <w:divBdr>
                                            <w:top w:val="single" w:sz="2" w:space="0" w:color="D9D9E3"/>
                                            <w:left w:val="single" w:sz="2" w:space="0" w:color="D9D9E3"/>
                                            <w:bottom w:val="single" w:sz="2" w:space="0" w:color="D9D9E3"/>
                                            <w:right w:val="single" w:sz="2" w:space="0" w:color="D9D9E3"/>
                                          </w:divBdr>
                                          <w:divsChild>
                                            <w:div w:id="1960843322">
                                              <w:marLeft w:val="0"/>
                                              <w:marRight w:val="0"/>
                                              <w:marTop w:val="0"/>
                                              <w:marBottom w:val="0"/>
                                              <w:divBdr>
                                                <w:top w:val="single" w:sz="2" w:space="0" w:color="D9D9E3"/>
                                                <w:left w:val="single" w:sz="2" w:space="0" w:color="D9D9E3"/>
                                                <w:bottom w:val="single" w:sz="2" w:space="0" w:color="D9D9E3"/>
                                                <w:right w:val="single" w:sz="2" w:space="0" w:color="D9D9E3"/>
                                              </w:divBdr>
                                              <w:divsChild>
                                                <w:div w:id="1376808090">
                                                  <w:marLeft w:val="0"/>
                                                  <w:marRight w:val="0"/>
                                                  <w:marTop w:val="0"/>
                                                  <w:marBottom w:val="0"/>
                                                  <w:divBdr>
                                                    <w:top w:val="single" w:sz="2" w:space="0" w:color="D9D9E3"/>
                                                    <w:left w:val="single" w:sz="2" w:space="0" w:color="D9D9E3"/>
                                                    <w:bottom w:val="single" w:sz="2" w:space="0" w:color="D9D9E3"/>
                                                    <w:right w:val="single" w:sz="2" w:space="0" w:color="D9D9E3"/>
                                                  </w:divBdr>
                                                  <w:divsChild>
                                                    <w:div w:id="4190642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16739150">
          <w:marLeft w:val="0"/>
          <w:marRight w:val="0"/>
          <w:marTop w:val="0"/>
          <w:marBottom w:val="0"/>
          <w:divBdr>
            <w:top w:val="none" w:sz="0" w:space="0" w:color="auto"/>
            <w:left w:val="none" w:sz="0" w:space="0" w:color="auto"/>
            <w:bottom w:val="none" w:sz="0" w:space="0" w:color="auto"/>
            <w:right w:val="none" w:sz="0" w:space="0" w:color="auto"/>
          </w:divBdr>
        </w:div>
      </w:divsChild>
    </w:div>
    <w:div w:id="767039794">
      <w:bodyDiv w:val="1"/>
      <w:marLeft w:val="0"/>
      <w:marRight w:val="0"/>
      <w:marTop w:val="0"/>
      <w:marBottom w:val="0"/>
      <w:divBdr>
        <w:top w:val="none" w:sz="0" w:space="0" w:color="auto"/>
        <w:left w:val="none" w:sz="0" w:space="0" w:color="auto"/>
        <w:bottom w:val="none" w:sz="0" w:space="0" w:color="auto"/>
        <w:right w:val="none" w:sz="0" w:space="0" w:color="auto"/>
      </w:divBdr>
    </w:div>
    <w:div w:id="785318838">
      <w:bodyDiv w:val="1"/>
      <w:marLeft w:val="0"/>
      <w:marRight w:val="0"/>
      <w:marTop w:val="0"/>
      <w:marBottom w:val="0"/>
      <w:divBdr>
        <w:top w:val="none" w:sz="0" w:space="0" w:color="auto"/>
        <w:left w:val="none" w:sz="0" w:space="0" w:color="auto"/>
        <w:bottom w:val="none" w:sz="0" w:space="0" w:color="auto"/>
        <w:right w:val="none" w:sz="0" w:space="0" w:color="auto"/>
      </w:divBdr>
    </w:div>
    <w:div w:id="951015769">
      <w:bodyDiv w:val="1"/>
      <w:marLeft w:val="0"/>
      <w:marRight w:val="0"/>
      <w:marTop w:val="0"/>
      <w:marBottom w:val="0"/>
      <w:divBdr>
        <w:top w:val="none" w:sz="0" w:space="0" w:color="auto"/>
        <w:left w:val="none" w:sz="0" w:space="0" w:color="auto"/>
        <w:bottom w:val="none" w:sz="0" w:space="0" w:color="auto"/>
        <w:right w:val="none" w:sz="0" w:space="0" w:color="auto"/>
      </w:divBdr>
    </w:div>
    <w:div w:id="1127743982">
      <w:bodyDiv w:val="1"/>
      <w:marLeft w:val="0"/>
      <w:marRight w:val="0"/>
      <w:marTop w:val="0"/>
      <w:marBottom w:val="0"/>
      <w:divBdr>
        <w:top w:val="none" w:sz="0" w:space="0" w:color="auto"/>
        <w:left w:val="none" w:sz="0" w:space="0" w:color="auto"/>
        <w:bottom w:val="none" w:sz="0" w:space="0" w:color="auto"/>
        <w:right w:val="none" w:sz="0" w:space="0" w:color="auto"/>
      </w:divBdr>
    </w:div>
    <w:div w:id="1250387948">
      <w:bodyDiv w:val="1"/>
      <w:marLeft w:val="0"/>
      <w:marRight w:val="0"/>
      <w:marTop w:val="0"/>
      <w:marBottom w:val="0"/>
      <w:divBdr>
        <w:top w:val="none" w:sz="0" w:space="0" w:color="auto"/>
        <w:left w:val="none" w:sz="0" w:space="0" w:color="auto"/>
        <w:bottom w:val="none" w:sz="0" w:space="0" w:color="auto"/>
        <w:right w:val="none" w:sz="0" w:space="0" w:color="auto"/>
      </w:divBdr>
    </w:div>
    <w:div w:id="1270620052">
      <w:bodyDiv w:val="1"/>
      <w:marLeft w:val="0"/>
      <w:marRight w:val="0"/>
      <w:marTop w:val="0"/>
      <w:marBottom w:val="0"/>
      <w:divBdr>
        <w:top w:val="none" w:sz="0" w:space="0" w:color="auto"/>
        <w:left w:val="none" w:sz="0" w:space="0" w:color="auto"/>
        <w:bottom w:val="none" w:sz="0" w:space="0" w:color="auto"/>
        <w:right w:val="none" w:sz="0" w:space="0" w:color="auto"/>
      </w:divBdr>
    </w:div>
    <w:div w:id="1450854698">
      <w:bodyDiv w:val="1"/>
      <w:marLeft w:val="0"/>
      <w:marRight w:val="0"/>
      <w:marTop w:val="0"/>
      <w:marBottom w:val="0"/>
      <w:divBdr>
        <w:top w:val="none" w:sz="0" w:space="0" w:color="auto"/>
        <w:left w:val="none" w:sz="0" w:space="0" w:color="auto"/>
        <w:bottom w:val="none" w:sz="0" w:space="0" w:color="auto"/>
        <w:right w:val="none" w:sz="0" w:space="0" w:color="auto"/>
      </w:divBdr>
    </w:div>
    <w:div w:id="1536239187">
      <w:bodyDiv w:val="1"/>
      <w:marLeft w:val="0"/>
      <w:marRight w:val="0"/>
      <w:marTop w:val="0"/>
      <w:marBottom w:val="0"/>
      <w:divBdr>
        <w:top w:val="none" w:sz="0" w:space="0" w:color="auto"/>
        <w:left w:val="none" w:sz="0" w:space="0" w:color="auto"/>
        <w:bottom w:val="none" w:sz="0" w:space="0" w:color="auto"/>
        <w:right w:val="none" w:sz="0" w:space="0" w:color="auto"/>
      </w:divBdr>
    </w:div>
    <w:div w:id="1624847242">
      <w:bodyDiv w:val="1"/>
      <w:marLeft w:val="0"/>
      <w:marRight w:val="0"/>
      <w:marTop w:val="0"/>
      <w:marBottom w:val="0"/>
      <w:divBdr>
        <w:top w:val="none" w:sz="0" w:space="0" w:color="auto"/>
        <w:left w:val="none" w:sz="0" w:space="0" w:color="auto"/>
        <w:bottom w:val="none" w:sz="0" w:space="0" w:color="auto"/>
        <w:right w:val="none" w:sz="0" w:space="0" w:color="auto"/>
      </w:divBdr>
    </w:div>
    <w:div w:id="1659647451">
      <w:bodyDiv w:val="1"/>
      <w:marLeft w:val="0"/>
      <w:marRight w:val="0"/>
      <w:marTop w:val="0"/>
      <w:marBottom w:val="0"/>
      <w:divBdr>
        <w:top w:val="none" w:sz="0" w:space="0" w:color="auto"/>
        <w:left w:val="none" w:sz="0" w:space="0" w:color="auto"/>
        <w:bottom w:val="none" w:sz="0" w:space="0" w:color="auto"/>
        <w:right w:val="none" w:sz="0" w:space="0" w:color="auto"/>
      </w:divBdr>
    </w:div>
    <w:div w:id="1675379220">
      <w:bodyDiv w:val="1"/>
      <w:marLeft w:val="0"/>
      <w:marRight w:val="0"/>
      <w:marTop w:val="0"/>
      <w:marBottom w:val="0"/>
      <w:divBdr>
        <w:top w:val="none" w:sz="0" w:space="0" w:color="auto"/>
        <w:left w:val="none" w:sz="0" w:space="0" w:color="auto"/>
        <w:bottom w:val="none" w:sz="0" w:space="0" w:color="auto"/>
        <w:right w:val="none" w:sz="0" w:space="0" w:color="auto"/>
      </w:divBdr>
    </w:div>
    <w:div w:id="1714110043">
      <w:bodyDiv w:val="1"/>
      <w:marLeft w:val="0"/>
      <w:marRight w:val="0"/>
      <w:marTop w:val="0"/>
      <w:marBottom w:val="0"/>
      <w:divBdr>
        <w:top w:val="none" w:sz="0" w:space="0" w:color="auto"/>
        <w:left w:val="none" w:sz="0" w:space="0" w:color="auto"/>
        <w:bottom w:val="none" w:sz="0" w:space="0" w:color="auto"/>
        <w:right w:val="none" w:sz="0" w:space="0" w:color="auto"/>
      </w:divBdr>
    </w:div>
    <w:div w:id="1789927777">
      <w:bodyDiv w:val="1"/>
      <w:marLeft w:val="0"/>
      <w:marRight w:val="0"/>
      <w:marTop w:val="0"/>
      <w:marBottom w:val="0"/>
      <w:divBdr>
        <w:top w:val="none" w:sz="0" w:space="0" w:color="auto"/>
        <w:left w:val="none" w:sz="0" w:space="0" w:color="auto"/>
        <w:bottom w:val="none" w:sz="0" w:space="0" w:color="auto"/>
        <w:right w:val="none" w:sz="0" w:space="0" w:color="auto"/>
      </w:divBdr>
    </w:div>
    <w:div w:id="1794713821">
      <w:bodyDiv w:val="1"/>
      <w:marLeft w:val="0"/>
      <w:marRight w:val="0"/>
      <w:marTop w:val="0"/>
      <w:marBottom w:val="0"/>
      <w:divBdr>
        <w:top w:val="none" w:sz="0" w:space="0" w:color="auto"/>
        <w:left w:val="none" w:sz="0" w:space="0" w:color="auto"/>
        <w:bottom w:val="none" w:sz="0" w:space="0" w:color="auto"/>
        <w:right w:val="none" w:sz="0" w:space="0" w:color="auto"/>
      </w:divBdr>
    </w:div>
    <w:div w:id="1996369808">
      <w:bodyDiv w:val="1"/>
      <w:marLeft w:val="0"/>
      <w:marRight w:val="0"/>
      <w:marTop w:val="0"/>
      <w:marBottom w:val="0"/>
      <w:divBdr>
        <w:top w:val="none" w:sz="0" w:space="0" w:color="auto"/>
        <w:left w:val="none" w:sz="0" w:space="0" w:color="auto"/>
        <w:bottom w:val="none" w:sz="0" w:space="0" w:color="auto"/>
        <w:right w:val="none" w:sz="0" w:space="0" w:color="auto"/>
      </w:divBdr>
    </w:div>
    <w:div w:id="2083138694">
      <w:bodyDiv w:val="1"/>
      <w:marLeft w:val="0"/>
      <w:marRight w:val="0"/>
      <w:marTop w:val="0"/>
      <w:marBottom w:val="0"/>
      <w:divBdr>
        <w:top w:val="none" w:sz="0" w:space="0" w:color="auto"/>
        <w:left w:val="none" w:sz="0" w:space="0" w:color="auto"/>
        <w:bottom w:val="none" w:sz="0" w:space="0" w:color="auto"/>
        <w:right w:val="none" w:sz="0" w:space="0" w:color="auto"/>
      </w:divBdr>
    </w:div>
    <w:div w:id="211740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eoc.gov/overvie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a.org/pubs/books/4311534.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sr-in-deutschland.de/DE/CSR-Allgemein/CSR-Politik/CSR-in-der-EU/Corporate-Sustainability-Reporting-Directive/corporate-sustainability-reporting-directive-ar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ata.europa.eu/doi/10.2838/2066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katharine.wirsching@uni-a.de" TargetMode="External"/><Relationship Id="rId1" Type="http://schemas.openxmlformats.org/officeDocument/2006/relationships/hyperlink" Target="mailto:jasmin.kopp@uni-a.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F9131-D874-414D-8E19-D0BDBE1F3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12108</Words>
  <Characters>73694</Characters>
  <Application>Microsoft Office Word</Application>
  <DocSecurity>0</DocSecurity>
  <Lines>1111</Lines>
  <Paragraphs>232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 Kopp</dc:creator>
  <cp:keywords/>
  <dc:description/>
  <cp:lastModifiedBy>Jasmin Kopp</cp:lastModifiedBy>
  <cp:revision>7</cp:revision>
  <dcterms:created xsi:type="dcterms:W3CDTF">2024-02-13T13:23:00Z</dcterms:created>
  <dcterms:modified xsi:type="dcterms:W3CDTF">2024-02-14T10:00:00Z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474b6f02e16d83b39f0a468e4d7d028858057aaa909f2d82ecb1b303146ac2cd</vt:lpwstr>
  </property>
</Properties>
</file>